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CCA" w:rsidRDefault="00114E98">
      <w:pPr>
        <w:spacing w:before="200" w:after="1000" w:line="560" w:lineRule="exact"/>
        <w:jc w:val="center"/>
        <w:rPr>
          <w:rFonts w:ascii="宋体" w:eastAsia="宋体" w:hAnsi="宋体" w:cs="宋体"/>
          <w:sz w:val="18"/>
          <w:szCs w:val="18"/>
        </w:rPr>
      </w:pPr>
      <w:r>
        <w:rPr>
          <w:rFonts w:ascii="宋体" w:eastAsia="宋体" w:hAnsi="宋体" w:cs="宋体"/>
          <w:sz w:val="18"/>
          <w:szCs w:val="18"/>
        </w:rPr>
        <w:t>证券代码：002849                证券简称：威星智能                公告编号：</w:t>
      </w:r>
      <w:r w:rsidR="005B4DC9">
        <w:rPr>
          <w:rFonts w:ascii="宋体" w:eastAsia="宋体" w:hAnsi="宋体" w:cs="宋体"/>
          <w:sz w:val="18"/>
          <w:szCs w:val="18"/>
        </w:rPr>
        <w:t>2025-045</w:t>
      </w:r>
    </w:p>
    <w:p w:rsidR="00A25CCA" w:rsidRDefault="00114E98">
      <w:pPr>
        <w:spacing w:before="200" w:after="200" w:line="400" w:lineRule="exact"/>
        <w:jc w:val="center"/>
        <w:rPr>
          <w:rFonts w:ascii="宋体" w:eastAsia="宋体" w:hAnsi="宋体" w:cs="宋体"/>
          <w:b/>
          <w:bCs/>
          <w:sz w:val="32"/>
          <w:szCs w:val="32"/>
        </w:rPr>
      </w:pPr>
      <w:r>
        <w:rPr>
          <w:rFonts w:ascii="宋体" w:eastAsia="宋体" w:hAnsi="宋体" w:cs="宋体"/>
          <w:b/>
          <w:bCs/>
          <w:sz w:val="32"/>
          <w:szCs w:val="32"/>
        </w:rPr>
        <w:t>浙江威星智能仪表股份有限公司</w:t>
      </w:r>
    </w:p>
    <w:p w:rsidR="00A25CCA" w:rsidRDefault="00114E98">
      <w:pPr>
        <w:spacing w:before="200" w:after="200" w:line="400" w:lineRule="exact"/>
        <w:jc w:val="center"/>
        <w:rPr>
          <w:rFonts w:ascii="宋体" w:eastAsia="宋体" w:hAnsi="宋体" w:cs="宋体"/>
          <w:b/>
          <w:bCs/>
          <w:sz w:val="32"/>
          <w:szCs w:val="32"/>
        </w:rPr>
      </w:pPr>
      <w:r>
        <w:rPr>
          <w:rFonts w:ascii="宋体" w:eastAsia="宋体" w:hAnsi="宋体" w:cs="宋体"/>
          <w:b/>
          <w:bCs/>
          <w:sz w:val="32"/>
          <w:szCs w:val="32"/>
        </w:rPr>
        <w:t>2025年第三季度报告</w:t>
      </w:r>
    </w:p>
    <w:p w:rsidR="00A25CCA" w:rsidRDefault="00114E98">
      <w:pPr>
        <w:pBdr>
          <w:top w:val="single" w:sz="4" w:space="1" w:color="auto"/>
          <w:left w:val="single" w:sz="4" w:space="4" w:color="auto"/>
          <w:bottom w:val="single" w:sz="4" w:space="1" w:color="auto"/>
          <w:right w:val="single" w:sz="4" w:space="4" w:color="auto"/>
          <w:bar w:val="single" w:sz="4" w:color="auto"/>
        </w:pBdr>
        <w:spacing w:before="100" w:after="100" w:line="400" w:lineRule="exact"/>
        <w:ind w:firstLineChars="200" w:firstLine="360"/>
        <w:rPr>
          <w:rFonts w:ascii="宋体" w:eastAsia="宋体" w:hAnsi="宋体" w:cs="宋体"/>
          <w:sz w:val="18"/>
          <w:szCs w:val="18"/>
        </w:rPr>
      </w:pPr>
      <w:r>
        <w:rPr>
          <w:rFonts w:ascii="宋体" w:eastAsia="宋体" w:hAnsi="宋体" w:cs="宋体"/>
          <w:sz w:val="18"/>
          <w:szCs w:val="18"/>
        </w:rPr>
        <w:t>本公司及董事会全体成员保证信息披露的内容真实、准确、完整，没有虚假记载、误导性陈述或重大遗漏。</w:t>
      </w:r>
    </w:p>
    <w:p w:rsidR="00A25CCA" w:rsidRDefault="00114E98">
      <w:pPr>
        <w:spacing w:before="40" w:after="40" w:line="420" w:lineRule="exact"/>
        <w:rPr>
          <w:rFonts w:ascii="宋体" w:eastAsia="宋体" w:hAnsi="宋体" w:cs="宋体"/>
          <w:b/>
          <w:bCs/>
          <w:sz w:val="24"/>
          <w:szCs w:val="24"/>
        </w:rPr>
      </w:pPr>
      <w:r>
        <w:rPr>
          <w:rFonts w:ascii="宋体" w:eastAsia="宋体" w:hAnsi="宋体" w:cs="宋体"/>
          <w:b/>
          <w:bCs/>
          <w:sz w:val="24"/>
          <w:szCs w:val="24"/>
        </w:rPr>
        <w:t>重要内容提示：</w:t>
      </w:r>
    </w:p>
    <w:p w:rsidR="00A25CCA" w:rsidRDefault="00114E98">
      <w:pPr>
        <w:spacing w:before="100" w:after="100" w:line="400" w:lineRule="exact"/>
        <w:rPr>
          <w:rFonts w:ascii="宋体" w:eastAsia="宋体" w:hAnsi="宋体" w:cs="宋体"/>
          <w:sz w:val="18"/>
          <w:szCs w:val="18"/>
        </w:rPr>
      </w:pPr>
      <w:r>
        <w:rPr>
          <w:rFonts w:ascii="宋体" w:eastAsia="宋体" w:hAnsi="宋体" w:cs="宋体"/>
          <w:sz w:val="18"/>
          <w:szCs w:val="18"/>
        </w:rPr>
        <w:t>1.董事会、监事会及董事、监事、高级管理人员保证季度报告的真实、准确、完整，不存在虚假记载、误导性陈述或重大遗漏，并承担个别和连带的法律责任。</w:t>
      </w:r>
    </w:p>
    <w:p w:rsidR="00A25CCA" w:rsidRDefault="00114E98">
      <w:pPr>
        <w:spacing w:before="100" w:after="100" w:line="400" w:lineRule="exact"/>
        <w:rPr>
          <w:rFonts w:ascii="宋体" w:eastAsia="宋体" w:hAnsi="宋体" w:cs="宋体"/>
          <w:sz w:val="18"/>
          <w:szCs w:val="18"/>
        </w:rPr>
      </w:pPr>
      <w:r>
        <w:rPr>
          <w:rFonts w:ascii="宋体" w:eastAsia="宋体" w:hAnsi="宋体" w:cs="宋体"/>
          <w:sz w:val="18"/>
          <w:szCs w:val="18"/>
        </w:rPr>
        <w:t>2.公司负责人、主管会计工作负责人及会计机构负责人(会计主管人员)声明：保证季度报告中财务信息的真实、准确、完整。</w:t>
      </w:r>
    </w:p>
    <w:p w:rsidR="00A25CCA" w:rsidRDefault="00114E98">
      <w:pPr>
        <w:spacing w:before="100" w:after="100" w:line="400" w:lineRule="exact"/>
        <w:rPr>
          <w:rFonts w:ascii="宋体" w:eastAsia="宋体" w:hAnsi="宋体" w:cs="宋体"/>
          <w:sz w:val="18"/>
          <w:szCs w:val="18"/>
        </w:rPr>
      </w:pPr>
      <w:r>
        <w:rPr>
          <w:rFonts w:ascii="宋体" w:eastAsia="宋体" w:hAnsi="宋体" w:cs="宋体"/>
          <w:sz w:val="18"/>
          <w:szCs w:val="18"/>
        </w:rPr>
        <w:t>3.第三季度财务会计报告是否经过审计</w:t>
      </w:r>
    </w:p>
    <w:p w:rsidR="00A25CCA" w:rsidRDefault="00114E98">
      <w:pPr>
        <w:spacing w:before="100" w:after="100" w:line="400" w:lineRule="exact"/>
        <w:rPr>
          <w:rFonts w:ascii="宋体" w:eastAsia="宋体" w:hAnsi="宋体" w:cs="宋体"/>
          <w:sz w:val="18"/>
          <w:szCs w:val="18"/>
        </w:rPr>
      </w:pPr>
      <w:r>
        <w:rPr>
          <w:rFonts w:ascii="宋体" w:eastAsia="宋体" w:hAnsi="宋体" w:cs="宋体"/>
          <w:sz w:val="18"/>
          <w:szCs w:val="18"/>
        </w:rPr>
        <w:t xml:space="preserve">□是 </w:t>
      </w:r>
      <w:r>
        <w:rPr>
          <w:rFonts w:ascii="宋体" w:eastAsia="宋体" w:hAnsi="宋体" w:cs="宋体"/>
          <w:sz w:val="18"/>
          <w:szCs w:val="18"/>
        </w:rPr>
        <w:sym w:font="Wingdings 2" w:char="F052"/>
      </w:r>
      <w:r>
        <w:rPr>
          <w:rFonts w:ascii="宋体" w:eastAsia="宋体" w:hAnsi="宋体" w:cs="宋体"/>
          <w:sz w:val="18"/>
          <w:szCs w:val="18"/>
        </w:rPr>
        <w:t>否</w:t>
      </w:r>
    </w:p>
    <w:p w:rsidR="00A25CCA" w:rsidRDefault="00114E98">
      <w:r>
        <w:br w:type="page"/>
      </w:r>
    </w:p>
    <w:p w:rsidR="00A25CCA" w:rsidRDefault="00114E98">
      <w:pPr>
        <w:pStyle w:val="headingh1"/>
        <w:spacing w:before="300" w:after="300" w:line="320" w:lineRule="exact"/>
        <w:rPr>
          <w:rFonts w:ascii="宋体" w:eastAsia="宋体" w:hAnsi="宋体" w:cs="宋体"/>
          <w:b/>
          <w:bCs/>
          <w:sz w:val="24"/>
          <w:szCs w:val="24"/>
        </w:rPr>
      </w:pPr>
      <w:bookmarkStart w:id="0" w:name="_Toc988889"/>
      <w:r>
        <w:rPr>
          <w:rFonts w:ascii="宋体" w:eastAsia="宋体" w:hAnsi="宋体" w:cs="宋体"/>
          <w:b/>
          <w:bCs/>
          <w:sz w:val="24"/>
          <w:szCs w:val="24"/>
        </w:rPr>
        <w:lastRenderedPageBreak/>
        <w:t>一、主要财务数据</w:t>
      </w:r>
      <w:bookmarkEnd w:id="0"/>
    </w:p>
    <w:p w:rsidR="00A25CCA" w:rsidRDefault="00114E98">
      <w:pPr>
        <w:pStyle w:val="2"/>
        <w:spacing w:before="300" w:after="300" w:line="280" w:lineRule="exact"/>
        <w:rPr>
          <w:rFonts w:ascii="宋体" w:eastAsia="宋体" w:hAnsi="宋体" w:cs="宋体"/>
          <w:b/>
          <w:bCs/>
        </w:rPr>
      </w:pPr>
      <w:bookmarkStart w:id="1" w:name="_Toc988890"/>
      <w:r>
        <w:rPr>
          <w:rFonts w:ascii="宋体" w:eastAsia="宋体" w:hAnsi="宋体" w:cs="宋体"/>
          <w:b/>
          <w:bCs/>
        </w:rPr>
        <w:t>（一） 主要会计数据和财务指标</w:t>
      </w:r>
      <w:bookmarkEnd w:id="1"/>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t>公司是否需追溯调整或重述以前年度会计数据</w:t>
      </w:r>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t xml:space="preserve">□是 </w:t>
      </w:r>
      <w:r>
        <w:rPr>
          <w:rFonts w:ascii="宋体" w:eastAsia="宋体" w:hAnsi="宋体" w:cs="宋体"/>
          <w:sz w:val="18"/>
          <w:szCs w:val="18"/>
        </w:rPr>
        <w:sym w:font="Wingdings 2" w:char="F052"/>
      </w:r>
      <w:r>
        <w:rPr>
          <w:rFonts w:ascii="宋体" w:eastAsia="宋体" w:hAnsi="宋体" w:cs="宋体"/>
          <w:sz w:val="18"/>
          <w:szCs w:val="18"/>
        </w:rPr>
        <w:t>否</w:t>
      </w:r>
    </w:p>
    <w:tbl>
      <w:tblPr>
        <w:tblW w:w="963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27"/>
        <w:gridCol w:w="1928"/>
        <w:gridCol w:w="1928"/>
        <w:gridCol w:w="1928"/>
        <w:gridCol w:w="1928"/>
      </w:tblGrid>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本报告期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本报告期比上年同期增减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年初至报告期末</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年初至报告期末比上年同期增减</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营业收入（元）</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496,588,435.67</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64.16%</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1,290,700,172.62</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31.95%</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归属于上市公司股东的净利润（元）</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19,631,401.45</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-27.24%</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71,596,471.88</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8.08%</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归属于上市公司股东的扣除非经常性损益的净利润（元）</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18,658,155.91</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-28.39%</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69,187,561.14</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11.43%</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经营活动产生的现金流量净额（元）</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jc w:val="center"/>
              <w:rPr>
                <w:rFonts w:ascii="宋体" w:eastAsia="宋体" w:hAnsi="宋体" w:cs="宋体"/>
                <w:sz w:val="18"/>
                <w:szCs w:val="18"/>
              </w:rPr>
            </w:pPr>
            <w:r>
              <w:rPr>
                <w:rFonts w:ascii="宋体" w:eastAsia="宋体" w:hAnsi="宋体" w:cs="宋体"/>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jc w:val="center"/>
              <w:rPr>
                <w:rFonts w:ascii="宋体" w:eastAsia="宋体" w:hAnsi="宋体" w:cs="宋体"/>
                <w:sz w:val="18"/>
                <w:szCs w:val="18"/>
              </w:rPr>
            </w:pPr>
            <w:r>
              <w:rPr>
                <w:rFonts w:ascii="宋体" w:eastAsia="宋体" w:hAnsi="宋体" w:cs="宋体"/>
                <w:sz w:val="18"/>
                <w:szCs w:val="18"/>
              </w:rPr>
              <w:t>—</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-45,528,387.69</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-97.86%</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基本每股收益（元/股）</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0.0890</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-27.25%</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0.3245</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8.09%</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稀释每股收益（元/股）</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0.0890</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-27.25%</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0.3245</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8.09%</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加权平均净资产收益率</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1.45%</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-0.65%</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5.36%</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0.28%</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本报告期末</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上年度末</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本报告期末比上年度末增减</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总资产（元）</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2,789,756,710.01</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2,423,377,148.51</w:t>
            </w:r>
          </w:p>
        </w:tc>
        <w:tc>
          <w:tcPr>
            <w:tcW w:w="3856" w:type="dxa"/>
            <w:gridSpan w:val="2"/>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15.12%</w:t>
            </w:r>
          </w:p>
        </w:tc>
      </w:tr>
      <w:tr w:rsidR="00A25CCA">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归属于上市公司股东的所有者权益（元）</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1,368,205,957.48</w:t>
            </w:r>
          </w:p>
        </w:tc>
        <w:tc>
          <w:tcPr>
            <w:tcW w:w="1928"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1,304,560,342.40</w:t>
            </w:r>
          </w:p>
        </w:tc>
        <w:tc>
          <w:tcPr>
            <w:tcW w:w="3856" w:type="dxa"/>
            <w:gridSpan w:val="2"/>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4.88%</w:t>
            </w:r>
          </w:p>
        </w:tc>
      </w:tr>
    </w:tbl>
    <w:p w:rsidR="00A25CCA" w:rsidRDefault="00A25CCA">
      <w:pPr>
        <w:spacing w:before="100" w:after="100" w:line="0" w:lineRule="atLeast"/>
      </w:pPr>
    </w:p>
    <w:p w:rsidR="00A25CCA" w:rsidRDefault="00114E98">
      <w:pPr>
        <w:pStyle w:val="2"/>
        <w:spacing w:before="300" w:after="300" w:line="280" w:lineRule="exact"/>
        <w:rPr>
          <w:rFonts w:ascii="宋体" w:eastAsia="宋体" w:hAnsi="宋体" w:cs="宋体"/>
          <w:b/>
          <w:bCs/>
        </w:rPr>
      </w:pPr>
      <w:bookmarkStart w:id="2" w:name="_Toc988891"/>
      <w:r>
        <w:rPr>
          <w:rFonts w:ascii="宋体" w:eastAsia="宋体" w:hAnsi="宋体" w:cs="宋体"/>
          <w:b/>
          <w:bCs/>
        </w:rPr>
        <w:t>（二） 非经常性损益项目和金额</w:t>
      </w:r>
      <w:bookmarkEnd w:id="2"/>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sym w:font="Wingdings 2" w:char="F052"/>
      </w:r>
      <w:r>
        <w:rPr>
          <w:rFonts w:ascii="宋体" w:eastAsia="宋体" w:hAnsi="宋体" w:cs="宋体"/>
          <w:sz w:val="18"/>
          <w:szCs w:val="18"/>
        </w:rPr>
        <w:t>适用 □不适用</w:t>
      </w:r>
    </w:p>
    <w:p w:rsidR="00A25CCA" w:rsidRDefault="00114E98">
      <w:pPr>
        <w:spacing w:line="240" w:lineRule="exact"/>
        <w:jc w:val="right"/>
        <w:rPr>
          <w:rFonts w:ascii="宋体" w:eastAsia="宋体" w:hAnsi="宋体" w:cs="宋体"/>
          <w:sz w:val="18"/>
          <w:szCs w:val="18"/>
        </w:rPr>
      </w:pPr>
      <w:r>
        <w:rPr>
          <w:rFonts w:ascii="宋体" w:eastAsia="宋体" w:hAnsi="宋体" w:cs="宋体"/>
          <w:sz w:val="18"/>
          <w:szCs w:val="18"/>
        </w:rPr>
        <w:t>单位：元</w:t>
      </w:r>
    </w:p>
    <w:tbl>
      <w:tblPr>
        <w:tblW w:w="963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2409"/>
        <w:gridCol w:w="2410"/>
        <w:gridCol w:w="2410"/>
        <w:gridCol w:w="2410"/>
      </w:tblGrid>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jc w:val="center"/>
              <w:rPr>
                <w:rFonts w:ascii="宋体" w:eastAsia="宋体" w:hAnsi="宋体" w:cs="宋体"/>
                <w:sz w:val="18"/>
                <w:szCs w:val="18"/>
              </w:rPr>
            </w:pPr>
            <w:r>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jc w:val="center"/>
              <w:rPr>
                <w:rFonts w:ascii="宋体" w:eastAsia="宋体" w:hAnsi="宋体" w:cs="宋体"/>
                <w:sz w:val="18"/>
                <w:szCs w:val="18"/>
              </w:rPr>
            </w:pPr>
            <w:r>
              <w:rPr>
                <w:rFonts w:ascii="宋体" w:eastAsia="宋体" w:hAnsi="宋体" w:cs="宋体"/>
                <w:sz w:val="18"/>
                <w:szCs w:val="18"/>
              </w:rPr>
              <w:t>本报告期金额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jc w:val="center"/>
              <w:rPr>
                <w:rFonts w:ascii="宋体" w:eastAsia="宋体" w:hAnsi="宋体" w:cs="宋体"/>
                <w:sz w:val="18"/>
                <w:szCs w:val="18"/>
              </w:rPr>
            </w:pPr>
            <w:r>
              <w:rPr>
                <w:rFonts w:ascii="宋体" w:eastAsia="宋体" w:hAnsi="宋体" w:cs="宋体"/>
                <w:sz w:val="18"/>
                <w:szCs w:val="18"/>
              </w:rPr>
              <w:t>年初至报告期期末金额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jc w:val="center"/>
              <w:rPr>
                <w:rFonts w:ascii="宋体" w:eastAsia="宋体" w:hAnsi="宋体" w:cs="宋体"/>
                <w:sz w:val="18"/>
                <w:szCs w:val="18"/>
              </w:rPr>
            </w:pPr>
            <w:r>
              <w:rPr>
                <w:rFonts w:ascii="宋体" w:eastAsia="宋体" w:hAnsi="宋体" w:cs="宋体"/>
                <w:sz w:val="18"/>
                <w:szCs w:val="18"/>
              </w:rPr>
              <w:t>说明</w:t>
            </w: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非流动性资产处置损益（包括已计提资产减值准备的冲销部分）</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3,786.34</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-270,108.79</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计入当期损益的政府补助（与公司正常经营业务密切相关、符合国家政策规定、按照确定的标准享有、对公司损益产生持续影响的政府补助除外）</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1,067,815.12</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2,204,700.98</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除同公司正常经营业务相关的有效套期保值业务外，非金融企业持有金融资产和金融负债产生的公允价值变动损益以及处置金融资产和金融负债产生的损益</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800,580.49</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委托他人投资或管理资产的损益</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323,709.83</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323,709.83</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单独进行减值测试的应收款项减值准备转回</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81,283.62</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除上述各项之外的其他营业</w:t>
            </w:r>
            <w:r>
              <w:rPr>
                <w:rFonts w:ascii="宋体" w:eastAsia="宋体" w:hAnsi="宋体" w:cs="宋体"/>
                <w:sz w:val="18"/>
                <w:szCs w:val="18"/>
              </w:rPr>
              <w:lastRenderedPageBreak/>
              <w:t>外收入和支出</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lastRenderedPageBreak/>
              <w:t>-372,494.22</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-407,232.05</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lastRenderedPageBreak/>
              <w:t>其他符合非经常性损益定义的损益项目</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-83,212.58</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减：所得税影响额</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128,692.30</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339,027.89</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200" w:firstLine="360"/>
              <w:rPr>
                <w:rFonts w:ascii="宋体" w:eastAsia="宋体" w:hAnsi="宋体" w:cs="宋体"/>
                <w:sz w:val="18"/>
                <w:szCs w:val="18"/>
              </w:rPr>
            </w:pPr>
            <w:r>
              <w:rPr>
                <w:rFonts w:ascii="宋体" w:eastAsia="宋体" w:hAnsi="宋体" w:cs="宋体"/>
                <w:sz w:val="18"/>
                <w:szCs w:val="18"/>
              </w:rPr>
              <w:t>少数股东权益影响额（税后）</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-79,120.77</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-98,217.13</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rPr>
                <w:rFonts w:ascii="宋体" w:eastAsia="宋体" w:hAnsi="宋体" w:cs="宋体"/>
                <w:sz w:val="18"/>
                <w:szCs w:val="18"/>
              </w:rPr>
            </w:pPr>
          </w:p>
        </w:tc>
      </w:tr>
      <w:tr w:rsidR="00A25CCA">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973,245.54</w:t>
            </w:r>
          </w:p>
        </w:tc>
        <w:tc>
          <w:tcPr>
            <w:tcW w:w="2410"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2,408,910.74</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jc w:val="center"/>
              <w:rPr>
                <w:rFonts w:ascii="宋体" w:eastAsia="宋体" w:hAnsi="宋体" w:cs="宋体"/>
                <w:sz w:val="18"/>
                <w:szCs w:val="18"/>
              </w:rPr>
            </w:pPr>
            <w:r>
              <w:rPr>
                <w:rFonts w:ascii="宋体" w:eastAsia="宋体" w:hAnsi="宋体" w:cs="宋体"/>
                <w:sz w:val="18"/>
                <w:szCs w:val="18"/>
              </w:rPr>
              <w:t>--</w:t>
            </w:r>
          </w:p>
        </w:tc>
      </w:tr>
    </w:tbl>
    <w:p w:rsidR="00A25CCA" w:rsidRDefault="00114E98">
      <w:pPr>
        <w:spacing w:line="240" w:lineRule="exact"/>
        <w:rPr>
          <w:rFonts w:ascii="宋体" w:eastAsia="宋体" w:hAnsi="宋体" w:cs="宋体"/>
          <w:sz w:val="18"/>
          <w:szCs w:val="18"/>
        </w:rPr>
      </w:pPr>
      <w:r>
        <w:rPr>
          <w:rFonts w:ascii="宋体" w:eastAsia="宋体" w:hAnsi="宋体" w:cs="宋体"/>
          <w:sz w:val="18"/>
          <w:szCs w:val="18"/>
        </w:rPr>
        <w:t>其他符合非经常性损益定义的损益项目的具体情况：</w:t>
      </w:r>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t xml:space="preserve">□适用 </w:t>
      </w:r>
      <w:r>
        <w:rPr>
          <w:rFonts w:ascii="宋体" w:eastAsia="宋体" w:hAnsi="宋体" w:cs="宋体"/>
          <w:sz w:val="18"/>
          <w:szCs w:val="18"/>
        </w:rPr>
        <w:sym w:font="Wingdings 2" w:char="F052"/>
      </w:r>
      <w:r>
        <w:rPr>
          <w:rFonts w:ascii="宋体" w:eastAsia="宋体" w:hAnsi="宋体" w:cs="宋体"/>
          <w:sz w:val="18"/>
          <w:szCs w:val="18"/>
        </w:rPr>
        <w:t>不适用</w:t>
      </w:r>
    </w:p>
    <w:p w:rsidR="00A25CCA" w:rsidRDefault="00114E98">
      <w:pPr>
        <w:spacing w:before="40" w:after="40" w:line="240" w:lineRule="exact"/>
        <w:rPr>
          <w:rFonts w:ascii="宋体" w:eastAsia="宋体" w:hAnsi="宋体" w:cs="宋体"/>
          <w:sz w:val="18"/>
          <w:szCs w:val="18"/>
        </w:rPr>
      </w:pPr>
      <w:r>
        <w:rPr>
          <w:rFonts w:ascii="宋体" w:eastAsia="宋体" w:hAnsi="宋体" w:cs="宋体"/>
          <w:sz w:val="18"/>
          <w:szCs w:val="18"/>
        </w:rPr>
        <w:t>公司不存在其他符合非经常性损益定义的损益项目的具体情况。</w:t>
      </w:r>
    </w:p>
    <w:p w:rsidR="00A25CCA" w:rsidRDefault="00114E98">
      <w:pPr>
        <w:spacing w:before="40" w:after="40" w:line="240" w:lineRule="exact"/>
        <w:rPr>
          <w:rFonts w:ascii="宋体" w:eastAsia="宋体" w:hAnsi="宋体" w:cs="宋体"/>
          <w:sz w:val="18"/>
          <w:szCs w:val="18"/>
        </w:rPr>
      </w:pPr>
      <w:r>
        <w:rPr>
          <w:rFonts w:ascii="宋体" w:eastAsia="宋体" w:hAnsi="宋体" w:cs="宋体"/>
          <w:sz w:val="18"/>
          <w:szCs w:val="18"/>
        </w:rPr>
        <w:t>将《公开发行证券的公司信息披露解释性公告第1号——非经常性损益》中列举的非经常性损益项目界定为经常性损益项目的情况说明</w:t>
      </w:r>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sym w:font="Wingdings 2" w:char="F052"/>
      </w:r>
      <w:r>
        <w:rPr>
          <w:rFonts w:ascii="宋体" w:eastAsia="宋体" w:hAnsi="宋体" w:cs="宋体"/>
          <w:sz w:val="18"/>
          <w:szCs w:val="18"/>
        </w:rPr>
        <w:t>适用 □不适用</w:t>
      </w:r>
    </w:p>
    <w:tbl>
      <w:tblPr>
        <w:tblW w:w="963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213"/>
        <w:gridCol w:w="3213"/>
        <w:gridCol w:w="3213"/>
      </w:tblGrid>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涉及金额（元）</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原因</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增值税即</w:t>
            </w:r>
            <w:r w:rsidR="00520980">
              <w:rPr>
                <w:rFonts w:ascii="宋体" w:eastAsia="宋体" w:hAnsi="宋体" w:cs="宋体" w:hint="eastAsia"/>
                <w:sz w:val="18"/>
                <w:szCs w:val="18"/>
              </w:rPr>
              <w:t>征</w:t>
            </w:r>
            <w:r>
              <w:rPr>
                <w:rFonts w:ascii="宋体" w:eastAsia="宋体" w:hAnsi="宋体" w:cs="宋体"/>
                <w:sz w:val="18"/>
                <w:szCs w:val="18"/>
              </w:rPr>
              <w:t>即退</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22,596,555.79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具有普适性、按照确定的标准享有</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增值税加计扣除</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7,808,027.70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具有普适性、按照确定的标准享有</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个税返还</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413,805.27</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具有普适性、按照确定的标准享有</w:t>
            </w:r>
          </w:p>
        </w:tc>
      </w:tr>
    </w:tbl>
    <w:p w:rsidR="00A25CCA" w:rsidRDefault="00114E98">
      <w:pPr>
        <w:pStyle w:val="2"/>
        <w:spacing w:before="300" w:after="300" w:line="280" w:lineRule="exact"/>
        <w:rPr>
          <w:rFonts w:ascii="宋体" w:eastAsia="宋体" w:hAnsi="宋体" w:cs="宋体"/>
          <w:b/>
          <w:bCs/>
        </w:rPr>
      </w:pPr>
      <w:bookmarkStart w:id="3" w:name="_Toc988892"/>
      <w:r>
        <w:rPr>
          <w:rFonts w:ascii="宋体" w:eastAsia="宋体" w:hAnsi="宋体" w:cs="宋体"/>
          <w:b/>
          <w:bCs/>
        </w:rPr>
        <w:t>（三） 主要会计数据和财务指标发生变动的情况及原因</w:t>
      </w:r>
      <w:bookmarkEnd w:id="3"/>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sym w:font="Wingdings 2" w:char="F052"/>
      </w:r>
      <w:r>
        <w:rPr>
          <w:rFonts w:ascii="宋体" w:eastAsia="宋体" w:hAnsi="宋体" w:cs="宋体"/>
          <w:sz w:val="18"/>
          <w:szCs w:val="18"/>
        </w:rPr>
        <w:t>适用 □不适用</w:t>
      </w:r>
    </w:p>
    <w:p w:rsidR="00C827BE" w:rsidRDefault="00C827BE" w:rsidP="00C827BE">
      <w:pPr>
        <w:spacing w:before="40" w:after="40" w:line="240" w:lineRule="exact"/>
        <w:jc w:val="right"/>
        <w:rPr>
          <w:rFonts w:ascii="宋体" w:eastAsia="宋体" w:hAnsi="宋体" w:cs="宋体"/>
          <w:sz w:val="18"/>
          <w:szCs w:val="18"/>
        </w:rPr>
      </w:pPr>
      <w:r>
        <w:rPr>
          <w:rFonts w:ascii="宋体" w:eastAsia="宋体" w:hAnsi="宋体" w:cs="宋体"/>
          <w:sz w:val="18"/>
          <w:szCs w:val="18"/>
        </w:rPr>
        <w:t>单位：</w:t>
      </w:r>
      <w:r>
        <w:rPr>
          <w:rFonts w:ascii="宋体" w:eastAsia="宋体" w:hAnsi="宋体" w:cs="宋体" w:hint="eastAsia"/>
          <w:sz w:val="18"/>
          <w:szCs w:val="18"/>
        </w:rPr>
        <w:t>元</w:t>
      </w:r>
      <w:bookmarkStart w:id="4" w:name="_GoBack"/>
      <w:bookmarkEnd w:id="4"/>
    </w:p>
    <w:tbl>
      <w:tblPr>
        <w:tblW w:w="9965" w:type="dxa"/>
        <w:tblCellMar>
          <w:left w:w="0" w:type="dxa"/>
          <w:right w:w="0" w:type="dxa"/>
        </w:tblCellMar>
        <w:tblLook w:val="04A0" w:firstRow="1" w:lastRow="0" w:firstColumn="1" w:lastColumn="0" w:noHBand="0" w:noVBand="1"/>
      </w:tblPr>
      <w:tblGrid>
        <w:gridCol w:w="2449"/>
        <w:gridCol w:w="2133"/>
        <w:gridCol w:w="2155"/>
        <w:gridCol w:w="1004"/>
        <w:gridCol w:w="2224"/>
      </w:tblGrid>
      <w:tr w:rsidR="003E60FE" w:rsidTr="005B4DC9">
        <w:trPr>
          <w:divId w:val="174346529"/>
          <w:trHeight w:val="346"/>
        </w:trPr>
        <w:tc>
          <w:tcPr>
            <w:tcW w:w="9965" w:type="dxa"/>
            <w:gridSpan w:val="5"/>
            <w:tcBorders>
              <w:top w:val="single" w:sz="8" w:space="0" w:color="auto"/>
              <w:left w:val="single" w:sz="8" w:space="0" w:color="auto"/>
              <w:bottom w:val="single" w:sz="8" w:space="0" w:color="auto"/>
              <w:right w:val="single" w:sz="8" w:space="0" w:color="auto"/>
            </w:tcBorders>
            <w:shd w:val="clear" w:color="auto" w:fill="D9D9D9"/>
            <w:noWrap/>
            <w:tcMar>
              <w:top w:w="15" w:type="dxa"/>
              <w:left w:w="15" w:type="dxa"/>
              <w:bottom w:w="0" w:type="dxa"/>
              <w:right w:w="15" w:type="dxa"/>
            </w:tcMar>
            <w:vAlign w:val="center"/>
            <w:hideMark/>
          </w:tcPr>
          <w:p w:rsidR="003E60FE" w:rsidRPr="00472D88" w:rsidRDefault="00114E98">
            <w:pPr>
              <w:widowControl/>
              <w:jc w:val="center"/>
              <w:rPr>
                <w:rFonts w:asciiTheme="minorEastAsia" w:hAnsiTheme="minorEastAsia"/>
                <w:color w:val="000000"/>
                <w:kern w:val="0"/>
                <w:sz w:val="18"/>
                <w:szCs w:val="18"/>
              </w:rPr>
            </w:pPr>
            <w:r w:rsidRPr="00472D88">
              <w:rPr>
                <w:rFonts w:asciiTheme="minorEastAsia" w:hAnsiTheme="minorEastAsia" w:hint="eastAsia"/>
                <w:color w:val="000000"/>
                <w:sz w:val="18"/>
                <w:szCs w:val="18"/>
              </w:rPr>
              <w:t>资产负债表</w:t>
            </w:r>
          </w:p>
        </w:tc>
      </w:tr>
      <w:tr w:rsidR="003E60FE" w:rsidTr="005B4DC9">
        <w:trPr>
          <w:divId w:val="174346529"/>
          <w:trHeight w:val="346"/>
        </w:trPr>
        <w:tc>
          <w:tcPr>
            <w:tcW w:w="2449"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项目</w:t>
            </w:r>
          </w:p>
        </w:tc>
        <w:tc>
          <w:tcPr>
            <w:tcW w:w="2133"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2025年9月30日</w:t>
            </w:r>
          </w:p>
        </w:tc>
        <w:tc>
          <w:tcPr>
            <w:tcW w:w="2155"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2024年12月31日</w:t>
            </w:r>
          </w:p>
        </w:tc>
        <w:tc>
          <w:tcPr>
            <w:tcW w:w="1004"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变动比例</w:t>
            </w:r>
          </w:p>
        </w:tc>
        <w:tc>
          <w:tcPr>
            <w:tcW w:w="2223"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说明</w:t>
            </w:r>
          </w:p>
        </w:tc>
      </w:tr>
      <w:tr w:rsidR="003E60FE" w:rsidTr="005B4DC9">
        <w:trPr>
          <w:divId w:val="174346529"/>
          <w:trHeight w:val="591"/>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交易性金融资产</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56,645,997.99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8,645,997.99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555.17%</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主要系未到期的银行理财增加所致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应收票据</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4,857,964.74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9,197,395.01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-47.18%</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主要系公司收到的商业承兑汇票到期支付所致 </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应收账款</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985,262,160.66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671,890,743.20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46.64%</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主要系本年业务规模扩大所致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预付款项</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19,283,317.66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3,569,268.63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440.26%</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主要系预付的购买材料款增加所致</w:t>
            </w:r>
          </w:p>
        </w:tc>
      </w:tr>
      <w:tr w:rsidR="003E60FE" w:rsidTr="005B4DC9">
        <w:trPr>
          <w:divId w:val="174346529"/>
          <w:trHeight w:val="865"/>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其他应收款</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50,829,882.07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21,193,696.38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139.83%</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主要系计提增值税即征即退额和应收保证金增加所致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其他流动资产</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3,647,109.83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1,059,925.21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244.09%</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主要系待抵扣增值税进项税额增加所致</w:t>
            </w:r>
          </w:p>
        </w:tc>
      </w:tr>
      <w:tr w:rsidR="003E60FE" w:rsidTr="005B4DC9">
        <w:trPr>
          <w:divId w:val="174346529"/>
          <w:trHeight w:val="865"/>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使用权资产</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38,798,891.64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1,452,700.32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2570.81%</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主要系上海埃科燃气测控设备有限公司确认了使用权资产所致</w:t>
            </w:r>
          </w:p>
        </w:tc>
      </w:tr>
      <w:tr w:rsidR="003E60FE" w:rsidTr="005B4DC9">
        <w:trPr>
          <w:divId w:val="174346529"/>
          <w:trHeight w:val="865"/>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商誉</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1,883,158.31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系本年收购上海埃科燃气测控设备有限公司形成的商誉</w:t>
            </w:r>
          </w:p>
        </w:tc>
      </w:tr>
      <w:tr w:rsidR="003E60FE" w:rsidTr="005B4DC9">
        <w:trPr>
          <w:divId w:val="174346529"/>
          <w:trHeight w:val="692"/>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长期待摊费用</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348,188.30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570,182.77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-38.93%</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主要系长期待摊费用摊销所致</w:t>
            </w:r>
          </w:p>
        </w:tc>
      </w:tr>
      <w:tr w:rsidR="003E60FE" w:rsidTr="005B4DC9">
        <w:trPr>
          <w:divId w:val="174346529"/>
          <w:trHeight w:val="692"/>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短期借款</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173,609,587.50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38,227,101.39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354.15%</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主要系长期借款置换为短期借款所致</w:t>
            </w:r>
          </w:p>
        </w:tc>
      </w:tr>
      <w:tr w:rsidR="003E60FE" w:rsidTr="005B4DC9">
        <w:trPr>
          <w:divId w:val="174346529"/>
          <w:trHeight w:val="692"/>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应付账款</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812,792,624.50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621,677,616.08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30.74%</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主要系应付供应商货款增加所致</w:t>
            </w:r>
          </w:p>
        </w:tc>
      </w:tr>
      <w:tr w:rsidR="003E60FE" w:rsidTr="005B4DC9">
        <w:trPr>
          <w:divId w:val="174346529"/>
          <w:trHeight w:val="692"/>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合同负债</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3,786,625.87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6,981,379.43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-45.76%</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主要系预收货款减少所致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应交税费</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23,215,144.06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14,257,824.56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62.82%</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主要系本期所得税计提增加所致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一年内到期的非流动负债</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6,778,060.67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62,075,439.87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-89.08%</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主要系一年内到期的长期融资减少所致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长期借款</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64,100,000.00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主要系长期借款置换为短期借款所致</w:t>
            </w:r>
          </w:p>
        </w:tc>
      </w:tr>
      <w:tr w:rsidR="003E60FE" w:rsidTr="005B4DC9">
        <w:trPr>
          <w:divId w:val="174346529"/>
          <w:trHeight w:val="865"/>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租赁负债</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31,553,866.06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492,292.70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6309.57%</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主要系上海埃科燃气测控设备有限公司确认了租赁负债所致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专项储备</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4,768,173.73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1,521,066.30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213.48%</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主要系安全生产费计提增加所致</w:t>
            </w:r>
          </w:p>
        </w:tc>
      </w:tr>
      <w:tr w:rsidR="003E60FE" w:rsidTr="005B4DC9">
        <w:trPr>
          <w:divId w:val="174346529"/>
          <w:trHeight w:val="1153"/>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少数股东权益</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82,524,464.22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49,207,419.61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67.71%</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主要系本期新纳入合并范围的上海埃科燃气测控设备有限公司的少数股东权益所致</w:t>
            </w:r>
          </w:p>
        </w:tc>
      </w:tr>
      <w:tr w:rsidR="003E60FE" w:rsidTr="005B4DC9">
        <w:trPr>
          <w:divId w:val="174346529"/>
          <w:trHeight w:val="346"/>
        </w:trPr>
        <w:tc>
          <w:tcPr>
            <w:tcW w:w="9965" w:type="dxa"/>
            <w:gridSpan w:val="5"/>
            <w:tcBorders>
              <w:top w:val="nil"/>
              <w:left w:val="single" w:sz="8" w:space="0" w:color="auto"/>
              <w:bottom w:val="single" w:sz="8" w:space="0" w:color="auto"/>
              <w:right w:val="single" w:sz="8" w:space="0" w:color="auto"/>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利润表</w:t>
            </w:r>
          </w:p>
        </w:tc>
      </w:tr>
      <w:tr w:rsidR="003E60FE" w:rsidTr="005B4DC9">
        <w:trPr>
          <w:divId w:val="174346529"/>
          <w:trHeight w:val="302"/>
        </w:trPr>
        <w:tc>
          <w:tcPr>
            <w:tcW w:w="2449"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项目</w:t>
            </w:r>
          </w:p>
        </w:tc>
        <w:tc>
          <w:tcPr>
            <w:tcW w:w="2133"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2025年1-9月</w:t>
            </w:r>
          </w:p>
        </w:tc>
        <w:tc>
          <w:tcPr>
            <w:tcW w:w="2155"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2024年1-9月</w:t>
            </w:r>
          </w:p>
        </w:tc>
        <w:tc>
          <w:tcPr>
            <w:tcW w:w="1004"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变动比例</w:t>
            </w:r>
          </w:p>
        </w:tc>
        <w:tc>
          <w:tcPr>
            <w:tcW w:w="2223"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说明</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营业收入</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1,290,700,172.62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978,156,266.02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31.95%</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主要系本年业务规模扩大所致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营业成本</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912,160,076.08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633,264,127.54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44.04%</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主要系本年业务规模扩大所致</w:t>
            </w:r>
          </w:p>
        </w:tc>
      </w:tr>
      <w:tr w:rsidR="003E60FE" w:rsidTr="005B4DC9">
        <w:trPr>
          <w:divId w:val="174346529"/>
          <w:trHeight w:val="288"/>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财务费用</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2,007,549.52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-605,941.36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431.31%</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主要系利息收入减少所致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投资收益</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646,974.42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11,085,015.90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-94.16%</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主要系联营企业投资收益减少所致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资产减值损失</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-3,351,264.58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-29,195,554.36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88.52%</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主要系本年未计提长期股权投资减值所致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资产处置收益</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-165,089.52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60,625.37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-372.31%</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主要系本年非流动资产处置收益减少所致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营业外支出</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557,506.69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857,674.50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-35.00%</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w:t>
            </w:r>
            <w:r w:rsidR="00520980" w:rsidRPr="00472D88">
              <w:rPr>
                <w:rFonts w:asciiTheme="minorEastAsia" w:hAnsiTheme="minorEastAsia" w:hint="eastAsia"/>
                <w:color w:val="000000"/>
                <w:sz w:val="18"/>
                <w:szCs w:val="18"/>
              </w:rPr>
              <w:t>其他</w:t>
            </w:r>
            <w:r w:rsidRPr="00472D88">
              <w:rPr>
                <w:rFonts w:asciiTheme="minorEastAsia" w:hAnsiTheme="minorEastAsia" w:hint="eastAsia"/>
                <w:color w:val="000000"/>
                <w:sz w:val="18"/>
                <w:szCs w:val="18"/>
              </w:rPr>
              <w:t>支出减少所致</w:t>
            </w:r>
          </w:p>
        </w:tc>
      </w:tr>
      <w:tr w:rsidR="003E60FE" w:rsidTr="005B4DC9">
        <w:trPr>
          <w:divId w:val="174346529"/>
          <w:trHeight w:val="346"/>
        </w:trPr>
        <w:tc>
          <w:tcPr>
            <w:tcW w:w="9965" w:type="dxa"/>
            <w:gridSpan w:val="5"/>
            <w:tcBorders>
              <w:top w:val="nil"/>
              <w:left w:val="single" w:sz="8" w:space="0" w:color="auto"/>
              <w:bottom w:val="single" w:sz="8" w:space="0" w:color="auto"/>
              <w:right w:val="single" w:sz="8" w:space="0" w:color="auto"/>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现金流量表</w:t>
            </w:r>
          </w:p>
        </w:tc>
      </w:tr>
      <w:tr w:rsidR="003E60FE" w:rsidTr="005B4DC9">
        <w:trPr>
          <w:divId w:val="174346529"/>
          <w:trHeight w:val="346"/>
        </w:trPr>
        <w:tc>
          <w:tcPr>
            <w:tcW w:w="2449"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项目</w:t>
            </w:r>
          </w:p>
        </w:tc>
        <w:tc>
          <w:tcPr>
            <w:tcW w:w="2133"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2025年1-9月</w:t>
            </w:r>
          </w:p>
        </w:tc>
        <w:tc>
          <w:tcPr>
            <w:tcW w:w="2155"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2024年1-9月</w:t>
            </w:r>
          </w:p>
        </w:tc>
        <w:tc>
          <w:tcPr>
            <w:tcW w:w="1004"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变动比例</w:t>
            </w:r>
          </w:p>
        </w:tc>
        <w:tc>
          <w:tcPr>
            <w:tcW w:w="2223"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3E60FE" w:rsidRPr="00472D88" w:rsidRDefault="00114E98">
            <w:pPr>
              <w:jc w:val="center"/>
              <w:rPr>
                <w:rFonts w:asciiTheme="minorEastAsia" w:hAnsiTheme="minorEastAsia"/>
                <w:color w:val="000000"/>
                <w:sz w:val="18"/>
                <w:szCs w:val="18"/>
              </w:rPr>
            </w:pPr>
            <w:r w:rsidRPr="00472D88">
              <w:rPr>
                <w:rFonts w:asciiTheme="minorEastAsia" w:hAnsiTheme="minorEastAsia" w:hint="eastAsia"/>
                <w:color w:val="000000"/>
                <w:sz w:val="18"/>
                <w:szCs w:val="18"/>
              </w:rPr>
              <w:t>说明</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收到的税费返还</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13,443,332.06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26,263,546.80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-48.81%</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主要系增值税即征即退收款减少所致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支付给职工以及为职工支付的现金</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180,727,815.68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135,814,181.37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33.07%</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主要系本年支付员工薪酬增加所致</w:t>
            </w:r>
          </w:p>
        </w:tc>
      </w:tr>
      <w:tr w:rsidR="003E60FE" w:rsidTr="005B4DC9">
        <w:trPr>
          <w:divId w:val="174346529"/>
          <w:trHeight w:val="865"/>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处置固定资产、无形资产和其他长期资产收回的现金净额</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138,024.72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91,060.00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51.58%</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主要系本年处置固定资产收回的现金净额增加所致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购建固定资产、无形资产和其他长期资产支付的现金</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27,668,236.48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12,873,975.65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114.92%</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主要系本期长期资产款项付出所致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支付其他与投资活动有关的现金</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251,247,500.00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480,000,000.00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-47.66%</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主要系本期理财投入减少所致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取得借款收到的现金</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170,500,000.00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50,000,000.00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241.00%</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主要系本期银行短期借款增加所致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偿还债务支付的现金</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160,339,726.53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36,557,539.93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338.60%</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主要系本期归还银行借款增加所致</w:t>
            </w:r>
          </w:p>
        </w:tc>
      </w:tr>
      <w:tr w:rsidR="003E60FE" w:rsidTr="005B4DC9">
        <w:trPr>
          <w:divId w:val="174346529"/>
          <w:trHeight w:val="576"/>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分配股利、利润或偿付利息支付的现金</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11,998,315.99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25,975,185.22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-53.81%</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主要系子公司支付给少数股东的股利减少所致</w:t>
            </w:r>
          </w:p>
        </w:tc>
      </w:tr>
      <w:tr w:rsidR="003E60FE" w:rsidTr="005B4DC9">
        <w:trPr>
          <w:divId w:val="174346529"/>
          <w:trHeight w:val="865"/>
        </w:trPr>
        <w:tc>
          <w:tcPr>
            <w:tcW w:w="244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支付其他与筹资活动有关的现金</w:t>
            </w:r>
          </w:p>
        </w:tc>
        <w:tc>
          <w:tcPr>
            <w:tcW w:w="21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 4,751,553.23 </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  </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jc w:val="right"/>
              <w:rPr>
                <w:rFonts w:asciiTheme="minorEastAsia" w:hAnsiTheme="minorEastAsia"/>
                <w:color w:val="000000"/>
                <w:sz w:val="18"/>
                <w:szCs w:val="18"/>
              </w:rPr>
            </w:pPr>
            <w:r w:rsidRPr="00472D88">
              <w:rPr>
                <w:rFonts w:asciiTheme="minorEastAsia" w:hAnsiTheme="minorEastAsia" w:hint="eastAsia"/>
                <w:color w:val="000000"/>
                <w:sz w:val="18"/>
                <w:szCs w:val="18"/>
              </w:rPr>
              <w:t>100.00%</w:t>
            </w:r>
          </w:p>
        </w:tc>
        <w:tc>
          <w:tcPr>
            <w:tcW w:w="22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3E60FE" w:rsidRPr="00472D88" w:rsidRDefault="00114E98">
            <w:pPr>
              <w:rPr>
                <w:rFonts w:asciiTheme="minorEastAsia" w:hAnsiTheme="minorEastAsia"/>
                <w:color w:val="000000"/>
                <w:sz w:val="18"/>
                <w:szCs w:val="18"/>
              </w:rPr>
            </w:pPr>
            <w:r w:rsidRPr="00472D88">
              <w:rPr>
                <w:rFonts w:asciiTheme="minorEastAsia" w:hAnsiTheme="minorEastAsia" w:hint="eastAsia"/>
                <w:color w:val="000000"/>
                <w:sz w:val="18"/>
                <w:szCs w:val="18"/>
              </w:rPr>
              <w:t>主要系母公司和上海埃科燃气测控设备有限公司租赁负债付款所致</w:t>
            </w:r>
          </w:p>
        </w:tc>
      </w:tr>
    </w:tbl>
    <w:p w:rsidR="003E60FE" w:rsidRDefault="003E60FE">
      <w:pPr>
        <w:divId w:val="174346529"/>
      </w:pPr>
    </w:p>
    <w:p w:rsidR="00A25CCA" w:rsidRDefault="00114E98">
      <w:pPr>
        <w:pStyle w:val="headingh1"/>
        <w:spacing w:before="300" w:after="300" w:line="320" w:lineRule="exact"/>
        <w:rPr>
          <w:rFonts w:ascii="宋体" w:eastAsia="宋体" w:hAnsi="宋体" w:cs="宋体"/>
          <w:b/>
          <w:bCs/>
          <w:sz w:val="24"/>
          <w:szCs w:val="24"/>
        </w:rPr>
      </w:pPr>
      <w:bookmarkStart w:id="5" w:name="_Toc988893"/>
      <w:r>
        <w:rPr>
          <w:rFonts w:ascii="宋体" w:eastAsia="宋体" w:hAnsi="宋体" w:cs="宋体"/>
          <w:b/>
          <w:bCs/>
          <w:sz w:val="24"/>
          <w:szCs w:val="24"/>
        </w:rPr>
        <w:t>二、股东信息</w:t>
      </w:r>
      <w:bookmarkEnd w:id="5"/>
    </w:p>
    <w:p w:rsidR="00A25CCA" w:rsidRDefault="00114E98">
      <w:pPr>
        <w:pStyle w:val="2"/>
        <w:spacing w:before="300" w:after="300" w:line="280" w:lineRule="exact"/>
        <w:rPr>
          <w:rFonts w:ascii="宋体" w:eastAsia="宋体" w:hAnsi="宋体" w:cs="宋体"/>
          <w:b/>
          <w:bCs/>
        </w:rPr>
      </w:pPr>
      <w:bookmarkStart w:id="6" w:name="_Toc988894"/>
      <w:r>
        <w:rPr>
          <w:rFonts w:ascii="宋体" w:eastAsia="宋体" w:hAnsi="宋体" w:cs="宋体"/>
          <w:b/>
          <w:bCs/>
        </w:rPr>
        <w:t>（一） 普通股股东总数和表决权恢复的优先股股东数量及前十名股东持股情况表</w:t>
      </w:r>
      <w:bookmarkEnd w:id="6"/>
    </w:p>
    <w:p w:rsidR="00A25CCA" w:rsidRDefault="00114E98">
      <w:pPr>
        <w:spacing w:before="40" w:after="40" w:line="240" w:lineRule="exact"/>
        <w:jc w:val="right"/>
        <w:rPr>
          <w:rFonts w:ascii="宋体" w:eastAsia="宋体" w:hAnsi="宋体" w:cs="宋体"/>
          <w:sz w:val="18"/>
          <w:szCs w:val="18"/>
        </w:rPr>
      </w:pPr>
      <w:r>
        <w:rPr>
          <w:rFonts w:ascii="宋体" w:eastAsia="宋体" w:hAnsi="宋体" w:cs="宋体"/>
          <w:sz w:val="18"/>
          <w:szCs w:val="18"/>
        </w:rPr>
        <w:t>单位：股</w:t>
      </w:r>
    </w:p>
    <w:tbl>
      <w:tblPr>
        <w:tblW w:w="963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377"/>
        <w:gridCol w:w="1377"/>
        <w:gridCol w:w="1377"/>
        <w:gridCol w:w="1377"/>
        <w:gridCol w:w="1377"/>
        <w:gridCol w:w="1377"/>
        <w:gridCol w:w="1377"/>
      </w:tblGrid>
      <w:tr w:rsidR="00A25CCA">
        <w:trPr>
          <w:trHeight w:val="240"/>
        </w:trPr>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报告期末普通股股东总数</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29,144</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报告期末表决权恢复的优先股股东总数（如有）</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9639" w:type="dxa"/>
            <w:gridSpan w:val="7"/>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前10名股东持股情况（不含通过转融通出借股份）</w:t>
            </w:r>
          </w:p>
        </w:tc>
      </w:tr>
      <w:tr w:rsidR="00A25CCA">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股东名称</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股东性质</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持股比例</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持股数量</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持有有限售条件的股份数量</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质押、标记或冻结情况</w:t>
            </w:r>
          </w:p>
        </w:tc>
      </w:tr>
      <w:tr w:rsidR="00A25CCA">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股份状态</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数量</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黄文谦</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14.20%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31,330,530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F94C07">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深圳市中燃科技有限公司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境内非国有法人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10.28%</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22,680,000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范慧群</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1.01%</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2,225,100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冻结</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2,225,100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陈培良</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0.60%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1,330,000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胡国忠</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0.58%</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1,280,000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吕礼发</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0.54%</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1,200,000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黄华兵</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0.51%</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1,120,000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840,000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吕晓峰</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0.50%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1,106,000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付永红</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0.50%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1,105,100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陈柳瑛</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境内自然人</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0.45%</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1,000,000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不适用</w:t>
            </w:r>
          </w:p>
        </w:tc>
        <w:tc>
          <w:tcPr>
            <w:tcW w:w="1377"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w:t>
            </w:r>
          </w:p>
        </w:tc>
      </w:tr>
      <w:tr w:rsidR="00A25CCA">
        <w:trPr>
          <w:trHeight w:val="240"/>
        </w:trPr>
        <w:tc>
          <w:tcPr>
            <w:tcW w:w="9639" w:type="dxa"/>
            <w:gridSpan w:val="7"/>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前10名无限售条件股东持股情况（不含通过转融通出借股份、高管锁定股）</w:t>
            </w:r>
          </w:p>
        </w:tc>
      </w:tr>
      <w:tr w:rsidR="00A25CCA">
        <w:trPr>
          <w:trHeight w:val="240"/>
        </w:trPr>
        <w:tc>
          <w:tcPr>
            <w:tcW w:w="2754"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股东名称</w:t>
            </w:r>
          </w:p>
        </w:tc>
        <w:tc>
          <w:tcPr>
            <w:tcW w:w="4131" w:type="dxa"/>
            <w:gridSpan w:val="3"/>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持有无限售条件股份数量</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股份种类及数量</w:t>
            </w:r>
          </w:p>
        </w:tc>
      </w:tr>
      <w:tr w:rsidR="00A25CCA">
        <w:trPr>
          <w:trHeight w:val="240"/>
        </w:trPr>
        <w:tc>
          <w:tcPr>
            <w:tcW w:w="2754" w:type="dxa"/>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4131" w:type="dxa"/>
            <w:gridSpan w:val="3"/>
            <w:vMerge/>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股份种类</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数量</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黄文谦</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31,330,530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31,330,530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深圳市中燃科技有限公司</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22,680,000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22,680,000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范慧群</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2,225,100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2,225,100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陈培良</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1,330,000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1,330,000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胡国忠</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1,280,000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1,280,000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吕礼发</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1,200,000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1,200,000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吕晓峰</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1,106,000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1,106,000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付永红</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1,105,100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1,105,100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陈柳瑛</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1,000,000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1,000,000</w:t>
            </w:r>
          </w:p>
        </w:tc>
      </w:tr>
      <w:tr w:rsidR="00F94C07">
        <w:trPr>
          <w:trHeight w:val="240"/>
        </w:trPr>
        <w:tc>
          <w:tcPr>
            <w:tcW w:w="2754" w:type="dxa"/>
            <w:gridSpan w:val="2"/>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中国银行股份有限公司－招商量化精选股票型发起式证券投资基金</w:t>
            </w:r>
          </w:p>
        </w:tc>
        <w:tc>
          <w:tcPr>
            <w:tcW w:w="4131" w:type="dxa"/>
            <w:gridSpan w:val="3"/>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921,900</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人民币普通股</w:t>
            </w:r>
          </w:p>
        </w:tc>
        <w:tc>
          <w:tcPr>
            <w:tcW w:w="1377" w:type="dxa"/>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jc w:val="right"/>
              <w:rPr>
                <w:rFonts w:ascii="宋体" w:eastAsia="宋体" w:hAnsi="宋体" w:cs="宋体"/>
                <w:sz w:val="18"/>
                <w:szCs w:val="18"/>
              </w:rPr>
            </w:pPr>
            <w:r>
              <w:rPr>
                <w:rFonts w:ascii="宋体" w:eastAsia="宋体" w:hAnsi="宋体" w:cs="宋体"/>
                <w:sz w:val="18"/>
                <w:szCs w:val="18"/>
              </w:rPr>
              <w:t>921,900</w:t>
            </w:r>
          </w:p>
        </w:tc>
      </w:tr>
      <w:tr w:rsidR="00F94C07">
        <w:trPr>
          <w:trHeight w:val="240"/>
        </w:trPr>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上述股东关联关系或一致行动的说明</w:t>
            </w:r>
          </w:p>
        </w:tc>
        <w:tc>
          <w:tcPr>
            <w:tcW w:w="5508" w:type="dxa"/>
            <w:gridSpan w:val="4"/>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公司未知其是否存在关联关系或为一致行动人</w:t>
            </w:r>
          </w:p>
        </w:tc>
      </w:tr>
      <w:tr w:rsidR="00F94C07">
        <w:trPr>
          <w:trHeight w:val="240"/>
        </w:trPr>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前10名股东参与融资融券业务情况说明（如有）</w:t>
            </w:r>
          </w:p>
        </w:tc>
        <w:tc>
          <w:tcPr>
            <w:tcW w:w="5508" w:type="dxa"/>
            <w:gridSpan w:val="4"/>
            <w:tcBorders>
              <w:top w:val="single" w:sz="2" w:space="0" w:color="auto"/>
              <w:left w:val="single" w:sz="2" w:space="0" w:color="auto"/>
              <w:bottom w:val="single" w:sz="2" w:space="0" w:color="auto"/>
              <w:right w:val="single" w:sz="2" w:space="0" w:color="auto"/>
            </w:tcBorders>
            <w:vAlign w:val="center"/>
          </w:tcPr>
          <w:p w:rsidR="00F94C07" w:rsidRDefault="00F94C07" w:rsidP="00F94C07">
            <w:pPr>
              <w:spacing w:line="0" w:lineRule="atLeast"/>
              <w:rPr>
                <w:rFonts w:ascii="宋体" w:eastAsia="宋体" w:hAnsi="宋体" w:cs="宋体"/>
                <w:sz w:val="18"/>
                <w:szCs w:val="18"/>
              </w:rPr>
            </w:pPr>
            <w:r>
              <w:rPr>
                <w:rFonts w:ascii="宋体" w:eastAsia="宋体" w:hAnsi="宋体" w:cs="宋体"/>
                <w:sz w:val="18"/>
                <w:szCs w:val="18"/>
              </w:rPr>
              <w:t>不适用</w:t>
            </w:r>
          </w:p>
        </w:tc>
      </w:tr>
    </w:tbl>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t>持股5%以上股东、前10名股东及前10名无限售流通股股东参与转融通业务出借股份情况</w:t>
      </w:r>
    </w:p>
    <w:p w:rsidR="00A25CCA" w:rsidRDefault="00114E98">
      <w:pPr>
        <w:spacing w:line="240" w:lineRule="exact"/>
        <w:rPr>
          <w:rFonts w:ascii="宋体" w:eastAsia="宋体" w:hAnsi="宋体" w:cs="宋体"/>
          <w:sz w:val="18"/>
          <w:szCs w:val="18"/>
        </w:rPr>
      </w:pPr>
      <w:r>
        <w:rPr>
          <w:rFonts w:ascii="宋体" w:eastAsia="宋体" w:hAnsi="宋体" w:cs="宋体"/>
          <w:sz w:val="18"/>
          <w:szCs w:val="18"/>
        </w:rPr>
        <w:t xml:space="preserve">□适用 </w:t>
      </w:r>
      <w:r>
        <w:rPr>
          <w:rFonts w:ascii="宋体" w:eastAsia="宋体" w:hAnsi="宋体" w:cs="宋体"/>
          <w:sz w:val="18"/>
          <w:szCs w:val="18"/>
        </w:rPr>
        <w:sym w:font="Wingdings 2" w:char="F052"/>
      </w:r>
      <w:r>
        <w:rPr>
          <w:rFonts w:ascii="宋体" w:eastAsia="宋体" w:hAnsi="宋体" w:cs="宋体"/>
          <w:sz w:val="18"/>
          <w:szCs w:val="18"/>
        </w:rPr>
        <w:t>不适用</w:t>
      </w:r>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t>前10名股东及前10名无限售流通股股东因转融通出借/归还原因导致较上期发生变化</w:t>
      </w:r>
    </w:p>
    <w:p w:rsidR="00A25CCA" w:rsidRDefault="00114E98">
      <w:pPr>
        <w:spacing w:line="240" w:lineRule="exact"/>
        <w:rPr>
          <w:rFonts w:ascii="宋体" w:eastAsia="宋体" w:hAnsi="宋体" w:cs="宋体"/>
          <w:sz w:val="18"/>
          <w:szCs w:val="18"/>
        </w:rPr>
      </w:pPr>
      <w:r>
        <w:rPr>
          <w:rFonts w:ascii="宋体" w:eastAsia="宋体" w:hAnsi="宋体" w:cs="宋体"/>
          <w:sz w:val="18"/>
          <w:szCs w:val="18"/>
        </w:rPr>
        <w:t xml:space="preserve">□适用 </w:t>
      </w:r>
      <w:r>
        <w:rPr>
          <w:rFonts w:ascii="宋体" w:eastAsia="宋体" w:hAnsi="宋体" w:cs="宋体"/>
          <w:sz w:val="18"/>
          <w:szCs w:val="18"/>
        </w:rPr>
        <w:sym w:font="Wingdings 2" w:char="F052"/>
      </w:r>
      <w:r>
        <w:rPr>
          <w:rFonts w:ascii="宋体" w:eastAsia="宋体" w:hAnsi="宋体" w:cs="宋体"/>
          <w:sz w:val="18"/>
          <w:szCs w:val="18"/>
        </w:rPr>
        <w:t>不适用</w:t>
      </w:r>
    </w:p>
    <w:p w:rsidR="00A25CCA" w:rsidRDefault="00114E98">
      <w:pPr>
        <w:pStyle w:val="2"/>
        <w:spacing w:before="300" w:after="300" w:line="280" w:lineRule="exact"/>
        <w:rPr>
          <w:rFonts w:ascii="宋体" w:eastAsia="宋体" w:hAnsi="宋体" w:cs="宋体"/>
          <w:b/>
          <w:bCs/>
        </w:rPr>
      </w:pPr>
      <w:bookmarkStart w:id="7" w:name="_Toc988895"/>
      <w:r>
        <w:rPr>
          <w:rFonts w:ascii="宋体" w:eastAsia="宋体" w:hAnsi="宋体" w:cs="宋体"/>
          <w:b/>
          <w:bCs/>
        </w:rPr>
        <w:t>（二） 公司优先股股东总数及前10名优先股股东持股情况表</w:t>
      </w:r>
      <w:bookmarkEnd w:id="7"/>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t xml:space="preserve">□适用 </w:t>
      </w:r>
      <w:r>
        <w:rPr>
          <w:rFonts w:ascii="宋体" w:eastAsia="宋体" w:hAnsi="宋体" w:cs="宋体"/>
          <w:sz w:val="18"/>
          <w:szCs w:val="18"/>
        </w:rPr>
        <w:sym w:font="Wingdings 2" w:char="F052"/>
      </w:r>
      <w:r>
        <w:rPr>
          <w:rFonts w:ascii="宋体" w:eastAsia="宋体" w:hAnsi="宋体" w:cs="宋体"/>
          <w:sz w:val="18"/>
          <w:szCs w:val="18"/>
        </w:rPr>
        <w:t>不适用</w:t>
      </w:r>
    </w:p>
    <w:p w:rsidR="00A25CCA" w:rsidRDefault="00114E98">
      <w:pPr>
        <w:pStyle w:val="headingh1"/>
        <w:spacing w:before="300" w:after="300" w:line="320" w:lineRule="exact"/>
        <w:rPr>
          <w:rFonts w:ascii="宋体" w:eastAsia="宋体" w:hAnsi="宋体" w:cs="宋体"/>
          <w:b/>
          <w:bCs/>
          <w:sz w:val="24"/>
          <w:szCs w:val="24"/>
        </w:rPr>
      </w:pPr>
      <w:bookmarkStart w:id="8" w:name="_Toc988896"/>
      <w:r>
        <w:rPr>
          <w:rFonts w:ascii="宋体" w:eastAsia="宋体" w:hAnsi="宋体" w:cs="宋体"/>
          <w:b/>
          <w:bCs/>
          <w:sz w:val="24"/>
          <w:szCs w:val="24"/>
        </w:rPr>
        <w:t>三、其他重要事项</w:t>
      </w:r>
      <w:bookmarkEnd w:id="8"/>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t xml:space="preserve">□适用 </w:t>
      </w:r>
      <w:r>
        <w:rPr>
          <w:rFonts w:ascii="宋体" w:eastAsia="宋体" w:hAnsi="宋体" w:cs="宋体"/>
          <w:sz w:val="18"/>
          <w:szCs w:val="18"/>
        </w:rPr>
        <w:sym w:font="Wingdings 2" w:char="F052"/>
      </w:r>
      <w:r>
        <w:rPr>
          <w:rFonts w:ascii="宋体" w:eastAsia="宋体" w:hAnsi="宋体" w:cs="宋体"/>
          <w:sz w:val="18"/>
          <w:szCs w:val="18"/>
        </w:rPr>
        <w:t>不适用</w:t>
      </w:r>
    </w:p>
    <w:p w:rsidR="00A25CCA" w:rsidRDefault="00114E98">
      <w:pPr>
        <w:pStyle w:val="headingh1"/>
        <w:spacing w:before="300" w:after="300" w:line="320" w:lineRule="exact"/>
        <w:rPr>
          <w:rFonts w:ascii="宋体" w:eastAsia="宋体" w:hAnsi="宋体" w:cs="宋体"/>
          <w:b/>
          <w:bCs/>
          <w:sz w:val="24"/>
          <w:szCs w:val="24"/>
        </w:rPr>
      </w:pPr>
      <w:bookmarkStart w:id="9" w:name="_Toc988897"/>
      <w:r>
        <w:rPr>
          <w:rFonts w:ascii="宋体" w:eastAsia="宋体" w:hAnsi="宋体" w:cs="宋体"/>
          <w:b/>
          <w:bCs/>
          <w:sz w:val="24"/>
          <w:szCs w:val="24"/>
        </w:rPr>
        <w:t>四、季度财务报表</w:t>
      </w:r>
      <w:bookmarkEnd w:id="9"/>
    </w:p>
    <w:p w:rsidR="00A25CCA" w:rsidRDefault="00114E98">
      <w:pPr>
        <w:pStyle w:val="2"/>
        <w:spacing w:before="300" w:after="300" w:line="280" w:lineRule="exact"/>
        <w:rPr>
          <w:rFonts w:ascii="宋体" w:eastAsia="宋体" w:hAnsi="宋体" w:cs="宋体"/>
          <w:b/>
          <w:bCs/>
        </w:rPr>
      </w:pPr>
      <w:bookmarkStart w:id="10" w:name="_Toc988898"/>
      <w:r>
        <w:rPr>
          <w:rFonts w:ascii="宋体" w:eastAsia="宋体" w:hAnsi="宋体" w:cs="宋体"/>
          <w:b/>
          <w:bCs/>
        </w:rPr>
        <w:t>（一） 财务报表</w:t>
      </w:r>
      <w:bookmarkEnd w:id="10"/>
    </w:p>
    <w:p w:rsidR="00A25CCA" w:rsidRDefault="00114E98">
      <w:pPr>
        <w:pStyle w:val="3"/>
        <w:spacing w:line="280" w:lineRule="exact"/>
        <w:jc w:val="left"/>
        <w:rPr>
          <w:rFonts w:ascii="宋体" w:hAnsi="宋体" w:cs="宋体"/>
          <w:b/>
          <w:bCs/>
        </w:rPr>
      </w:pPr>
      <w:bookmarkStart w:id="11" w:name="_Toc988899"/>
      <w:r>
        <w:rPr>
          <w:rFonts w:ascii="宋体" w:hAnsi="宋体" w:cs="宋体"/>
          <w:b/>
          <w:bCs/>
        </w:rPr>
        <w:t>1、合并资产负债表</w:t>
      </w:r>
      <w:bookmarkEnd w:id="11"/>
    </w:p>
    <w:p w:rsidR="00A25CCA" w:rsidRDefault="00114E98">
      <w:pPr>
        <w:spacing w:line="240" w:lineRule="exact"/>
        <w:rPr>
          <w:rFonts w:ascii="宋体" w:eastAsia="宋体" w:hAnsi="宋体" w:cs="宋体"/>
          <w:sz w:val="18"/>
          <w:szCs w:val="18"/>
        </w:rPr>
      </w:pPr>
      <w:r>
        <w:rPr>
          <w:rFonts w:ascii="宋体" w:eastAsia="宋体" w:hAnsi="宋体" w:cs="宋体"/>
          <w:sz w:val="18"/>
          <w:szCs w:val="18"/>
        </w:rPr>
        <w:t>编制单位：浙江威星智能仪表股份有限公司</w:t>
      </w:r>
    </w:p>
    <w:p w:rsidR="00A25CCA" w:rsidRDefault="00114E98">
      <w:pPr>
        <w:spacing w:line="240" w:lineRule="exact"/>
        <w:jc w:val="center"/>
        <w:rPr>
          <w:rFonts w:ascii="宋体" w:eastAsia="宋体" w:hAnsi="宋体" w:cs="宋体"/>
          <w:sz w:val="18"/>
          <w:szCs w:val="18"/>
        </w:rPr>
      </w:pPr>
      <w:r>
        <w:rPr>
          <w:rFonts w:ascii="宋体" w:eastAsia="宋体" w:hAnsi="宋体" w:cs="宋体"/>
          <w:sz w:val="18"/>
          <w:szCs w:val="18"/>
        </w:rPr>
        <w:t>2025年09月30日</w:t>
      </w:r>
    </w:p>
    <w:p w:rsidR="00A25CCA" w:rsidRDefault="00114E98">
      <w:pPr>
        <w:spacing w:line="240" w:lineRule="exact"/>
        <w:jc w:val="right"/>
        <w:rPr>
          <w:rFonts w:ascii="宋体" w:eastAsia="宋体" w:hAnsi="宋体" w:cs="宋体"/>
          <w:sz w:val="18"/>
          <w:szCs w:val="18"/>
        </w:rPr>
      </w:pPr>
      <w:r>
        <w:rPr>
          <w:rFonts w:ascii="宋体" w:eastAsia="宋体" w:hAnsi="宋体" w:cs="宋体"/>
          <w:sz w:val="18"/>
          <w:szCs w:val="18"/>
        </w:rPr>
        <w:t>单位：元</w:t>
      </w:r>
    </w:p>
    <w:tbl>
      <w:tblPr>
        <w:tblW w:w="963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213"/>
        <w:gridCol w:w="3213"/>
        <w:gridCol w:w="3213"/>
      </w:tblGrid>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期初余额</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货币资金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445,524,129.31</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598,983,715.54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结算备付金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拆出资金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交易性金融资产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56,645,997.99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8,645,997.99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衍生金融资产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应收票据</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4,857,964.74</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9,197,395.01</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应收账款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985,262,160.66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671,890,743.20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应收款项融资</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115,328,557.99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140,902,049.97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预付款项</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19,283,317.66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3,569,268.63</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应收保费</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应收分保账款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应收分保合同准备金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50,829,882.07</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21,193,696.38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其中：应收利息</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500" w:firstLine="900"/>
              <w:rPr>
                <w:rFonts w:ascii="宋体" w:eastAsia="宋体" w:hAnsi="宋体" w:cs="宋体"/>
                <w:sz w:val="18"/>
                <w:szCs w:val="18"/>
              </w:rPr>
            </w:pPr>
            <w:r>
              <w:rPr>
                <w:rFonts w:ascii="宋体" w:eastAsia="宋体" w:hAnsi="宋体" w:cs="宋体"/>
                <w:sz w:val="18"/>
                <w:szCs w:val="18"/>
              </w:rPr>
              <w:t>应收股利</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买入返售金融资产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存货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450,994,929.29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370,160,848.59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200" w:firstLine="360"/>
              <w:rPr>
                <w:rFonts w:ascii="宋体" w:eastAsia="宋体" w:hAnsi="宋体" w:cs="宋体"/>
                <w:sz w:val="18"/>
                <w:szCs w:val="18"/>
              </w:rPr>
            </w:pPr>
            <w:r>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合同资产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33,040,779.80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27,594,435.69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持有待售资产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一年内到期的非流动资产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3,647,109.83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1,059,925.21</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流动资产合计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2,165,414,829.34</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1,853,198,076.21</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非流动资产：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发放贷款和垫款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债权投资</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其他债权投资</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长期应收款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长期股权投资</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125,257,996.98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125,735,312.88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其他权益工具投资</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其他非流动金融资产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46,903,175.56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48,011,223.34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投资性房地产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270,808,697.16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272,947,973.24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在建工程</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2,330,727.96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2,214,185.51</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生产性生物资产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油气资产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使用权资产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38,798,891.64</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1,452,700.32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无形资产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27,737,489.06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30,026,265.77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200" w:firstLine="360"/>
              <w:rPr>
                <w:rFonts w:ascii="宋体" w:eastAsia="宋体" w:hAnsi="宋体" w:cs="宋体"/>
                <w:sz w:val="18"/>
                <w:szCs w:val="18"/>
              </w:rPr>
            </w:pPr>
            <w:r>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开发支出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200" w:firstLine="360"/>
              <w:rPr>
                <w:rFonts w:ascii="宋体" w:eastAsia="宋体" w:hAnsi="宋体" w:cs="宋体"/>
                <w:sz w:val="18"/>
                <w:szCs w:val="18"/>
              </w:rPr>
            </w:pPr>
            <w:r>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商誉</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1,883,158.31</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长期待摊费用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348,188.30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570,182.77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递延所得税资产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26,646,142.85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24,388,015.59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其他非流动资产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83,627,412.85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64,833,212.88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非流动资产合计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624,341,880.67</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570,179,072.30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资产总计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2,789,756,710.01</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2,423,377,148.51</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短期借款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173,609,587.50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38,227,101.39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向中央银行借款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拆入资金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交易性金融负债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衍生金融负债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应付票据</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232,670,146.19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203,597,998.38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应付账款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812,792,624.50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621,677,616.08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预收款项</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合同负债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3,786,625.87</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6,981,379.43</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卖出回购金融资产款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吸收存款及同业存放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代理买卖证券款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代理承销证券款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应付职工薪酬</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32,307,364.30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39,657,987.12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应交税费</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23,215,144.06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14,257,824.56</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其他应付款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18,002,173.42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14,520,258.82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其中：应付利息</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500" w:firstLine="900"/>
              <w:rPr>
                <w:rFonts w:ascii="宋体" w:eastAsia="宋体" w:hAnsi="宋体" w:cs="宋体"/>
                <w:sz w:val="18"/>
                <w:szCs w:val="18"/>
              </w:rPr>
            </w:pPr>
            <w:r>
              <w:rPr>
                <w:rFonts w:ascii="宋体" w:eastAsia="宋体" w:hAnsi="宋体" w:cs="宋体"/>
                <w:sz w:val="18"/>
                <w:szCs w:val="18"/>
              </w:rPr>
              <w:t>应付股利</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应付手续费及佣金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应付分保账款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持有待售负债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一年内到期的非流动负债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6,778,060.67</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62,075,439.87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3,494,695.74</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3,099,738.15</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流动负债合计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1,306,656,422.25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1,004,095,343.80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非流动负债：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保险合同准备金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长期借款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64,100,000.00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应付债券</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500" w:firstLine="900"/>
              <w:rPr>
                <w:rFonts w:ascii="宋体" w:eastAsia="宋体" w:hAnsi="宋体" w:cs="宋体"/>
                <w:sz w:val="18"/>
                <w:szCs w:val="18"/>
              </w:rPr>
            </w:pPr>
            <w:r>
              <w:rPr>
                <w:rFonts w:ascii="宋体" w:eastAsia="宋体" w:hAnsi="宋体" w:cs="宋体"/>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租赁负债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31,553,866.06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492,292.70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长期应付款</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长期应付职工薪酬</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预计负债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递延收益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816,000.00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921,750.00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递延所得税负债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其他非流动负债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非流动负债合计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32,369,866.06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65,514,042.70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1,339,026,288.31</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1,069,609,386.50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所有者权益：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股本</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220,634,016.00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220,634,016.00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其他权益工具</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500" w:firstLine="900"/>
              <w:rPr>
                <w:rFonts w:ascii="宋体" w:eastAsia="宋体" w:hAnsi="宋体" w:cs="宋体"/>
                <w:sz w:val="18"/>
                <w:szCs w:val="18"/>
              </w:rPr>
            </w:pPr>
            <w:r>
              <w:rPr>
                <w:rFonts w:ascii="宋体" w:eastAsia="宋体" w:hAnsi="宋体" w:cs="宋体"/>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资本公积</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544,042,174.20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546,414,777.79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减：库存股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专项储备</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4,768,173.73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1,521,066.30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盈余公积</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59,635,630.10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59,635,630.10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一般风险准备</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未分配利润</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539,125,963.45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476,354,852.21</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归属于母公司所有者权益合计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1,368,205,957.48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1,304,560,342.40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少数股东权益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82,524,464.22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49,207,419.61</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所有者权益合计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1,450,730,421.70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1,353,767,762.01</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负债和所有者权益总计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2,789,756,710.01</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2,423,377,148.51</w:t>
            </w:r>
          </w:p>
        </w:tc>
      </w:tr>
    </w:tbl>
    <w:p w:rsidR="00A25CCA" w:rsidRDefault="00114E98">
      <w:pPr>
        <w:spacing w:line="240" w:lineRule="exact"/>
        <w:rPr>
          <w:rFonts w:ascii="宋体" w:eastAsia="宋体" w:hAnsi="宋体" w:cs="宋体"/>
          <w:sz w:val="18"/>
          <w:szCs w:val="18"/>
        </w:rPr>
      </w:pPr>
      <w:r>
        <w:rPr>
          <w:rFonts w:ascii="宋体" w:eastAsia="宋体" w:hAnsi="宋体" w:cs="宋体"/>
          <w:sz w:val="18"/>
          <w:szCs w:val="18"/>
        </w:rPr>
        <w:t>法定代表人：黄华兵    主管会计工作负责人：黄华兵      会计机构负责人：陈智园</w:t>
      </w:r>
    </w:p>
    <w:p w:rsidR="00A25CCA" w:rsidRDefault="00114E98">
      <w:pPr>
        <w:pStyle w:val="3"/>
        <w:spacing w:line="280" w:lineRule="exact"/>
        <w:jc w:val="left"/>
        <w:rPr>
          <w:rFonts w:ascii="宋体" w:hAnsi="宋体" w:cs="宋体"/>
          <w:b/>
          <w:bCs/>
        </w:rPr>
      </w:pPr>
      <w:bookmarkStart w:id="12" w:name="_Toc988900"/>
      <w:r>
        <w:rPr>
          <w:rFonts w:ascii="宋体" w:hAnsi="宋体" w:cs="宋体"/>
          <w:b/>
          <w:bCs/>
        </w:rPr>
        <w:t>2、合并年初到报告期末利润表</w:t>
      </w:r>
      <w:bookmarkEnd w:id="12"/>
    </w:p>
    <w:p w:rsidR="00A25CCA" w:rsidRDefault="00114E98">
      <w:pPr>
        <w:spacing w:before="40" w:after="40" w:line="240" w:lineRule="exact"/>
        <w:jc w:val="right"/>
        <w:rPr>
          <w:rFonts w:ascii="宋体" w:eastAsia="宋体" w:hAnsi="宋体" w:cs="宋体"/>
          <w:sz w:val="18"/>
          <w:szCs w:val="18"/>
        </w:rPr>
      </w:pPr>
      <w:r>
        <w:rPr>
          <w:rFonts w:ascii="宋体" w:eastAsia="宋体" w:hAnsi="宋体" w:cs="宋体"/>
          <w:sz w:val="18"/>
          <w:szCs w:val="18"/>
        </w:rPr>
        <w:t>单位：元</w:t>
      </w:r>
    </w:p>
    <w:tbl>
      <w:tblPr>
        <w:tblW w:w="963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213"/>
        <w:gridCol w:w="3213"/>
        <w:gridCol w:w="3213"/>
      </w:tblGrid>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上期发生额</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一、营业总收入</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1,290,700,172.62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978,156,266.02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其中：营业收入</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1,290,700,172.62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978,156,266.02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400" w:firstLine="720"/>
              <w:rPr>
                <w:rFonts w:ascii="宋体" w:eastAsia="宋体" w:hAnsi="宋体" w:cs="宋体"/>
                <w:sz w:val="18"/>
                <w:szCs w:val="18"/>
              </w:rPr>
            </w:pPr>
            <w:r>
              <w:rPr>
                <w:rFonts w:ascii="宋体" w:eastAsia="宋体" w:hAnsi="宋体" w:cs="宋体"/>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400" w:firstLine="720"/>
              <w:rPr>
                <w:rFonts w:ascii="宋体" w:eastAsia="宋体" w:hAnsi="宋体" w:cs="宋体"/>
                <w:sz w:val="18"/>
                <w:szCs w:val="18"/>
              </w:rPr>
            </w:pPr>
            <w:r>
              <w:rPr>
                <w:rFonts w:ascii="宋体" w:eastAsia="宋体" w:hAnsi="宋体" w:cs="宋体"/>
                <w:sz w:val="18"/>
                <w:szCs w:val="18"/>
              </w:rPr>
              <w:t>已赚保费</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400" w:firstLine="720"/>
              <w:rPr>
                <w:rFonts w:ascii="宋体" w:eastAsia="宋体" w:hAnsi="宋体" w:cs="宋体"/>
                <w:sz w:val="18"/>
                <w:szCs w:val="18"/>
              </w:rPr>
            </w:pPr>
            <w:r>
              <w:rPr>
                <w:rFonts w:ascii="宋体" w:eastAsia="宋体" w:hAnsi="宋体" w:cs="宋体"/>
                <w:sz w:val="18"/>
                <w:szCs w:val="18"/>
              </w:rPr>
              <w:t>手续费及佣金收入</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rPr>
                <w:rFonts w:ascii="宋体" w:eastAsia="宋体" w:hAnsi="宋体" w:cs="宋体"/>
                <w:sz w:val="18"/>
                <w:szCs w:val="18"/>
              </w:rPr>
            </w:pPr>
            <w:r>
              <w:rPr>
                <w:rFonts w:ascii="宋体" w:eastAsia="宋体" w:hAnsi="宋体" w:cs="宋体"/>
                <w:sz w:val="18"/>
                <w:szCs w:val="18"/>
              </w:rPr>
              <w:t>二、营业总成本</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1,198,789,283.73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884,368,908.07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其中：营业成本</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912,160,076.08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633,264,127.54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利息支出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手续费及佣金支出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退保金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赔付支出净额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提取保险责任准备金净额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保单红利支出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分保费用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400" w:firstLine="720"/>
              <w:rPr>
                <w:rFonts w:ascii="宋体" w:eastAsia="宋体" w:hAnsi="宋体" w:cs="宋体"/>
                <w:sz w:val="18"/>
                <w:szCs w:val="18"/>
              </w:rPr>
            </w:pPr>
            <w:r>
              <w:rPr>
                <w:rFonts w:ascii="宋体" w:eastAsia="宋体" w:hAnsi="宋体" w:cs="宋体"/>
                <w:sz w:val="18"/>
                <w:szCs w:val="18"/>
              </w:rPr>
              <w:t>税金及附加</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8,173,171.51</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7,746,184.62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销售费用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155,295,281.20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140,683,165.03</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管理费用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61,301,238.40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49,377,121.69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研发费用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59,851,967.02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53,904,250.55</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400" w:firstLine="720"/>
              <w:rPr>
                <w:rFonts w:ascii="宋体" w:eastAsia="宋体" w:hAnsi="宋体" w:cs="宋体"/>
                <w:sz w:val="18"/>
                <w:szCs w:val="18"/>
              </w:rPr>
            </w:pPr>
            <w:r>
              <w:rPr>
                <w:rFonts w:ascii="宋体" w:eastAsia="宋体" w:hAnsi="宋体" w:cs="宋体"/>
                <w:sz w:val="18"/>
                <w:szCs w:val="18"/>
              </w:rPr>
              <w:t>财务费用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2,007,549.52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-605,941.36</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500" w:firstLine="900"/>
              <w:rPr>
                <w:rFonts w:ascii="宋体" w:eastAsia="宋体" w:hAnsi="宋体" w:cs="宋体"/>
                <w:sz w:val="18"/>
                <w:szCs w:val="18"/>
              </w:rPr>
            </w:pPr>
            <w:r>
              <w:rPr>
                <w:rFonts w:ascii="宋体" w:eastAsia="宋体" w:hAnsi="宋体" w:cs="宋体"/>
                <w:sz w:val="18"/>
                <w:szCs w:val="18"/>
              </w:rPr>
              <w:t>其中：利息费用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3,736,182.25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3,829,891.14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800" w:firstLine="1440"/>
              <w:rPr>
                <w:rFonts w:ascii="宋体" w:eastAsia="宋体" w:hAnsi="宋体" w:cs="宋体"/>
                <w:sz w:val="18"/>
                <w:szCs w:val="18"/>
              </w:rPr>
            </w:pPr>
            <w:r>
              <w:rPr>
                <w:rFonts w:ascii="宋体" w:eastAsia="宋体" w:hAnsi="宋体" w:cs="宋体"/>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2,551,104.08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4,558,650.96</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加：其他收益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33,096,420.23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36,141,925.07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300" w:firstLine="540"/>
              <w:rPr>
                <w:rFonts w:ascii="宋体" w:eastAsia="宋体" w:hAnsi="宋体" w:cs="宋体"/>
                <w:sz w:val="18"/>
                <w:szCs w:val="18"/>
              </w:rPr>
            </w:pPr>
            <w:r>
              <w:rPr>
                <w:rFonts w:ascii="宋体" w:eastAsia="宋体" w:hAnsi="宋体" w:cs="宋体"/>
                <w:sz w:val="18"/>
                <w:szCs w:val="18"/>
              </w:rPr>
              <w:t>投资收益（损失以“－”号填列）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646,974.42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11,085,015.90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500" w:firstLine="900"/>
              <w:rPr>
                <w:rFonts w:ascii="宋体" w:eastAsia="宋体" w:hAnsi="宋体" w:cs="宋体"/>
                <w:sz w:val="18"/>
                <w:szCs w:val="18"/>
              </w:rPr>
            </w:pPr>
            <w:r>
              <w:rPr>
                <w:rFonts w:ascii="宋体" w:eastAsia="宋体" w:hAnsi="宋体" w:cs="宋体"/>
                <w:sz w:val="18"/>
                <w:szCs w:val="18"/>
              </w:rPr>
              <w:t>其中：对联营企业和合营企业的投资收益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-477,315.90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9,485,446.60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800" w:firstLine="1440"/>
              <w:rPr>
                <w:rFonts w:ascii="宋体" w:eastAsia="宋体" w:hAnsi="宋体" w:cs="宋体"/>
                <w:sz w:val="18"/>
                <w:szCs w:val="18"/>
              </w:rPr>
            </w:pPr>
            <w:r>
              <w:rPr>
                <w:rFonts w:ascii="宋体" w:eastAsia="宋体" w:hAnsi="宋体" w:cs="宋体"/>
                <w:sz w:val="18"/>
                <w:szCs w:val="18"/>
              </w:rPr>
              <w:t>以摊余成本计量的金融资产终止确认收益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300" w:firstLine="540"/>
              <w:rPr>
                <w:rFonts w:ascii="宋体" w:eastAsia="宋体" w:hAnsi="宋体" w:cs="宋体"/>
                <w:sz w:val="18"/>
                <w:szCs w:val="18"/>
              </w:rPr>
            </w:pPr>
            <w:r>
              <w:rPr>
                <w:rFonts w:ascii="宋体" w:eastAsia="宋体" w:hAnsi="宋体" w:cs="宋体"/>
                <w:sz w:val="18"/>
                <w:szCs w:val="18"/>
              </w:rPr>
              <w:t>汇兑收益（损失以“-”号填列）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300" w:firstLine="540"/>
              <w:rPr>
                <w:rFonts w:ascii="宋体" w:eastAsia="宋体" w:hAnsi="宋体" w:cs="宋体"/>
                <w:sz w:val="18"/>
                <w:szCs w:val="18"/>
              </w:rPr>
            </w:pPr>
            <w:r>
              <w:rPr>
                <w:rFonts w:ascii="宋体" w:eastAsia="宋体" w:hAnsi="宋体" w:cs="宋体"/>
                <w:sz w:val="18"/>
                <w:szCs w:val="18"/>
              </w:rPr>
              <w:t>净敞口套期收益（损失以“－”号填列）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300" w:firstLine="540"/>
              <w:rPr>
                <w:rFonts w:ascii="宋体" w:eastAsia="宋体" w:hAnsi="宋体" w:cs="宋体"/>
                <w:sz w:val="18"/>
                <w:szCs w:val="18"/>
              </w:rPr>
            </w:pPr>
            <w:r>
              <w:rPr>
                <w:rFonts w:ascii="宋体" w:eastAsia="宋体" w:hAnsi="宋体" w:cs="宋体"/>
                <w:sz w:val="18"/>
                <w:szCs w:val="18"/>
              </w:rPr>
              <w:t>公允价值变动收益（损失以“－”号填列）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2,266,085.32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信用减值损失（损失以“-”号填列）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-15,548,008.12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-22,416,296.05</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资产减值损失（损失以“-”号填列）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-3,351,264.58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-29,195,554.36</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资产处置收益（损失以“-”号填列）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-165,089.52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60,625.37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三、营业利润（亏损以“－”号填列）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106,589,921.32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91,729,159.20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加：营业外收入</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45,255.37</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50,700.23</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减：营业外支出</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557,506.69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857,674.50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四、利润总额（亏损总额以“－”号填列）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106,077,670.00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90,922,184.93</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减：所得税费用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20,130,327.57</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15,588,999.59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五、净利润（净亏损以“－”号填列）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85,947,342.43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75,333,185.34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（一）按经营持续性分类</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1.持续经营净利润（净亏损以“－”号填列）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85,947,342.43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75,333,185.34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2.终止经营净利润（净亏损以“－”号填列）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（二）按所有权归属分类</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1.归属于母公司股东的净利润（净亏损以“-”号填列）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71,596,471.88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66,243,801.24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2.少数股东损益（净亏损以“-”号填列）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14,350,870.55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9,089,384.10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六、其他综合收益的税后净额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归属母公司所有者的其他综合收益的税后净额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（一）不能重分类进损益的其他综合收益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1.重新计量设定受益计划变动额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2.权益法下不能转损益的其他综合收益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3.其他权益工具投资公允价值变动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4.企业自身信用风险公允价值变动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5.其他</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（二）将重分类进损益的其他综合收益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1.权益法下可转损益的其他综合收益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2.其他债权投资公允价值变动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3.金融资产重分类计入其他综合收益的金额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4.其他债权投资信用减值准备</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5.现金流量套期储备</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6.外币财务报表折算差额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300" w:firstLine="540"/>
              <w:rPr>
                <w:rFonts w:ascii="宋体" w:eastAsia="宋体" w:hAnsi="宋体" w:cs="宋体"/>
                <w:sz w:val="18"/>
                <w:szCs w:val="18"/>
              </w:rPr>
            </w:pPr>
            <w:r>
              <w:rPr>
                <w:rFonts w:ascii="宋体" w:eastAsia="宋体" w:hAnsi="宋体" w:cs="宋体"/>
                <w:sz w:val="18"/>
                <w:szCs w:val="18"/>
              </w:rPr>
              <w:t>7.其他</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归属于少数股东的其他综合收益的税后净额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七、综合收益总额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85,947,342.43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75,333,185.34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（一）归属于母公司所有者的综合收益总额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71,596,471.88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66,243,801.24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（二）归属于少数股东的综合收益总额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14,350,870.55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9,089,384.10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八、每股收益：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（一）基本每股收益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0.3245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0.3002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（二）稀释每股收益</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0.3245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0.3002</w:t>
            </w:r>
          </w:p>
        </w:tc>
      </w:tr>
    </w:tbl>
    <w:p w:rsidR="00A25CCA" w:rsidRDefault="00114E98">
      <w:pPr>
        <w:spacing w:line="240" w:lineRule="exact"/>
        <w:rPr>
          <w:rFonts w:ascii="宋体" w:eastAsia="宋体" w:hAnsi="宋体" w:cs="宋体"/>
          <w:sz w:val="18"/>
          <w:szCs w:val="18"/>
        </w:rPr>
      </w:pPr>
      <w:r>
        <w:rPr>
          <w:rFonts w:ascii="宋体" w:eastAsia="宋体" w:hAnsi="宋体" w:cs="宋体"/>
          <w:sz w:val="18"/>
          <w:szCs w:val="18"/>
        </w:rPr>
        <w:t>本期发生同一控制下企业合并的，被合并方在合并前实现的净利润为：0.00元，上期被合并方实现的净利润为：0.00元。</w:t>
      </w:r>
    </w:p>
    <w:p w:rsidR="00A25CCA" w:rsidRDefault="00114E98">
      <w:pPr>
        <w:spacing w:line="240" w:lineRule="exact"/>
        <w:rPr>
          <w:rFonts w:ascii="宋体" w:eastAsia="宋体" w:hAnsi="宋体" w:cs="宋体"/>
          <w:sz w:val="18"/>
          <w:szCs w:val="18"/>
        </w:rPr>
      </w:pPr>
      <w:r>
        <w:rPr>
          <w:rFonts w:ascii="宋体" w:eastAsia="宋体" w:hAnsi="宋体" w:cs="宋体"/>
          <w:sz w:val="18"/>
          <w:szCs w:val="18"/>
        </w:rPr>
        <w:t>法定代表人：黄华兵    主管会计工作负责人：黄华兵    会计机构负责人：陈智园</w:t>
      </w:r>
    </w:p>
    <w:p w:rsidR="00A25CCA" w:rsidRDefault="00114E98">
      <w:pPr>
        <w:pStyle w:val="3"/>
        <w:spacing w:line="280" w:lineRule="exact"/>
        <w:jc w:val="left"/>
        <w:rPr>
          <w:rFonts w:ascii="宋体" w:hAnsi="宋体" w:cs="宋体"/>
          <w:b/>
          <w:bCs/>
        </w:rPr>
      </w:pPr>
      <w:bookmarkStart w:id="13" w:name="_Toc988901"/>
      <w:r>
        <w:rPr>
          <w:rFonts w:ascii="宋体" w:hAnsi="宋体" w:cs="宋体"/>
          <w:b/>
          <w:bCs/>
        </w:rPr>
        <w:t>3、合并年初到报告期末现金流量表</w:t>
      </w:r>
      <w:bookmarkEnd w:id="13"/>
    </w:p>
    <w:p w:rsidR="00A25CCA" w:rsidRDefault="00114E98">
      <w:pPr>
        <w:spacing w:line="240" w:lineRule="exact"/>
        <w:jc w:val="right"/>
        <w:rPr>
          <w:rFonts w:ascii="宋体" w:eastAsia="宋体" w:hAnsi="宋体" w:cs="宋体"/>
          <w:sz w:val="18"/>
          <w:szCs w:val="18"/>
        </w:rPr>
      </w:pPr>
      <w:r>
        <w:rPr>
          <w:rFonts w:ascii="宋体" w:eastAsia="宋体" w:hAnsi="宋体" w:cs="宋体"/>
          <w:sz w:val="18"/>
          <w:szCs w:val="18"/>
        </w:rPr>
        <w:t>单位：元</w:t>
      </w:r>
    </w:p>
    <w:tbl>
      <w:tblPr>
        <w:tblW w:w="963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213"/>
        <w:gridCol w:w="3213"/>
        <w:gridCol w:w="3213"/>
      </w:tblGrid>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jc w:val="center"/>
              <w:rPr>
                <w:rFonts w:ascii="宋体" w:eastAsia="宋体" w:hAnsi="宋体" w:cs="宋体"/>
                <w:sz w:val="18"/>
                <w:szCs w:val="18"/>
              </w:rPr>
            </w:pPr>
            <w:r>
              <w:rPr>
                <w:rFonts w:ascii="宋体" w:eastAsia="宋体" w:hAnsi="宋体" w:cs="宋体"/>
                <w:sz w:val="18"/>
                <w:szCs w:val="18"/>
              </w:rPr>
              <w:t>上期发生额</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一、经营活动产生的现金流量：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销售商品、提供劳务收到的现金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1,010,761,076.69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920,144,284.50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客户存款和同业存放款项净增加额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向中央银行借款净增加额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向其他金融机构拆入资金净增加额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收到原保险合同保费取得的现金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收到再保业务现金净额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保户储金及投资款净增加额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收取利息、手续费及佣金的现金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拆入资金净增加额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回购业务资金净增加额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代理买卖证券收到的现金净额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收到的税费返还</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13,443,332.06</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26,263,546.80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收到其他与经营活动有关的现金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33,066,226.10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25,989,699.08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经营活动现金流入小计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1,057,270,634.85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972,397,530.38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购买商品、接受劳务支付的现金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664,938,056.62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627,000,363.48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客户贷款及垫款净增加额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存放中央银行和同业款项净增加额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支付原保险合同赔付款项的现金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拆出资金净增加额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支付利息、手续费及佣金的现金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支付保单红利的现金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支付给职工及为职工支付的现金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180,727,815.68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135,814,181.37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支付的各项税费</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68,999,354.92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73,491,846.15</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支付其他与经营活动有关的现金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188,133,795.32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159,101,469.62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经营活动现金流出小计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1,102,799,022.54</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995,407,860.62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经营活动产生的现金流量净额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-45,528,387.69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-23,010,330.24</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二、投资活动产生的现金流量：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收回投资收到的现金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取得投资收益收到的现金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18,232,338.10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处置固定资产、无形资产和其他长期资产收回的现金净额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138,024.72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91,060.00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处置子公司及其他营业单位收到的现金净额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收到其他与投资活动有关的现金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203,247,500.00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244,840,842.07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投资活动现金流入小计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221,617,862.82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244,931,902.07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购建固定资产、无形资产和其他长期资产支付的现金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27,668,236.48</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12,873,975.65</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投资支付的现金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16,606,000.00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20,000,000.00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质押贷款净增加额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取得子公司及其他营业单位支付的现金净额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27,895,836.45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支付其他与投资活动有关的现金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251,247,500.00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480,000,000.00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投资活动现金流出小计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323,417,572.93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512,873,975.65</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投资活动产生的现金流量净额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-101,799,710.11</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-267,942,073.58</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三、筹资活动产生的现金流量：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A25CCA"/>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吸收投资收到的现金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其中：子公司吸收少数股东投资收到的现金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取得借款收到的现金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170,500,000.00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50,000,000.00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收到其他与筹资活动有关的现金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筹资活动现金流入小计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170,500,000.00</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50,000,000.00</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before="40" w:after="40" w:line="0" w:lineRule="atLeast"/>
              <w:ind w:firstLineChars="100" w:firstLine="180"/>
              <w:rPr>
                <w:rFonts w:ascii="宋体" w:eastAsia="宋体" w:hAnsi="宋体" w:cs="宋体"/>
                <w:sz w:val="18"/>
                <w:szCs w:val="18"/>
              </w:rPr>
            </w:pPr>
            <w:r>
              <w:rPr>
                <w:rFonts w:ascii="宋体" w:eastAsia="宋体" w:hAnsi="宋体" w:cs="宋体"/>
                <w:sz w:val="18"/>
                <w:szCs w:val="18"/>
              </w:rPr>
              <w:t>偿还债务支付的现金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160,339,726.53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36,557,539.93</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分配股利、利润或偿付利息支付的现金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11,998,315.99</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25,975,185.22</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200" w:firstLine="360"/>
              <w:rPr>
                <w:rFonts w:ascii="宋体" w:eastAsia="宋体" w:hAnsi="宋体" w:cs="宋体"/>
                <w:sz w:val="18"/>
                <w:szCs w:val="18"/>
              </w:rPr>
            </w:pPr>
            <w:r>
              <w:rPr>
                <w:rFonts w:ascii="宋体" w:eastAsia="宋体" w:hAnsi="宋体" w:cs="宋体"/>
                <w:sz w:val="18"/>
                <w:szCs w:val="18"/>
              </w:rPr>
              <w:t>其中：子公司支付给少数股东的股利、利润</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13,347,018.36</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支付其他与筹资活动有关的现金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4,751,553.23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筹资活动现金流出小计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177,089,595.75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62,532,725.15</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筹资活动产生的现金流量净额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-6,589,595.75</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-12,532,725.15</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四、汇率变动对现金及现金等价物的影响</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458,107.32</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A25CCA">
            <w:pPr>
              <w:spacing w:line="0" w:lineRule="atLeast"/>
              <w:jc w:val="right"/>
              <w:rPr>
                <w:rFonts w:ascii="宋体" w:eastAsia="宋体" w:hAnsi="宋体" w:cs="宋体"/>
                <w:sz w:val="18"/>
                <w:szCs w:val="18"/>
              </w:rPr>
            </w:pP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五、现金及现金等价物净增加额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-153,459,586.23</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-303,485,128.97</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ind w:firstLineChars="100" w:firstLine="180"/>
              <w:rPr>
                <w:rFonts w:ascii="宋体" w:eastAsia="宋体" w:hAnsi="宋体" w:cs="宋体"/>
                <w:sz w:val="18"/>
                <w:szCs w:val="18"/>
              </w:rPr>
            </w:pPr>
            <w:r>
              <w:rPr>
                <w:rFonts w:ascii="宋体" w:eastAsia="宋体" w:hAnsi="宋体" w:cs="宋体"/>
                <w:sz w:val="18"/>
                <w:szCs w:val="18"/>
              </w:rPr>
              <w:t>加：期初现金及现金等价物余额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598,983,715.54</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604,707,513.99</w:t>
            </w:r>
          </w:p>
        </w:tc>
      </w:tr>
      <w:tr w:rsidR="00A25CCA">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A25CCA" w:rsidRDefault="00114E98">
            <w:pPr>
              <w:spacing w:line="0" w:lineRule="atLeast"/>
              <w:rPr>
                <w:rFonts w:ascii="宋体" w:eastAsia="宋体" w:hAnsi="宋体" w:cs="宋体"/>
                <w:sz w:val="18"/>
                <w:szCs w:val="18"/>
              </w:rPr>
            </w:pPr>
            <w:r>
              <w:rPr>
                <w:rFonts w:ascii="宋体" w:eastAsia="宋体" w:hAnsi="宋体" w:cs="宋体"/>
                <w:sz w:val="18"/>
                <w:szCs w:val="18"/>
              </w:rPr>
              <w:t>六、期末现金及现金等价物余额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445,524,129.31</w:t>
            </w:r>
          </w:p>
        </w:tc>
        <w:tc>
          <w:tcPr>
            <w:tcW w:w="3213" w:type="dxa"/>
            <w:tcBorders>
              <w:top w:val="single" w:sz="2" w:space="0" w:color="auto"/>
              <w:left w:val="single" w:sz="2" w:space="0" w:color="auto"/>
              <w:bottom w:val="single" w:sz="2" w:space="0" w:color="auto"/>
              <w:right w:val="single" w:sz="2" w:space="0" w:color="auto"/>
            </w:tcBorders>
            <w:vAlign w:val="center"/>
          </w:tcPr>
          <w:p w:rsidR="00A25CCA" w:rsidRDefault="00114E98">
            <w:pPr>
              <w:spacing w:line="0" w:lineRule="atLeast"/>
              <w:jc w:val="right"/>
              <w:rPr>
                <w:rFonts w:ascii="宋体" w:eastAsia="宋体" w:hAnsi="宋体" w:cs="宋体"/>
                <w:sz w:val="18"/>
                <w:szCs w:val="18"/>
              </w:rPr>
            </w:pPr>
            <w:r>
              <w:rPr>
                <w:rFonts w:ascii="宋体" w:eastAsia="宋体" w:hAnsi="宋体" w:cs="宋体"/>
                <w:sz w:val="18"/>
                <w:szCs w:val="18"/>
              </w:rPr>
              <w:t>301,222,385.02</w:t>
            </w:r>
          </w:p>
        </w:tc>
      </w:tr>
    </w:tbl>
    <w:p w:rsidR="00A25CCA" w:rsidRDefault="00114E98">
      <w:pPr>
        <w:pStyle w:val="2"/>
        <w:spacing w:before="300" w:after="300" w:line="280" w:lineRule="exact"/>
        <w:rPr>
          <w:rFonts w:ascii="宋体" w:eastAsia="宋体" w:hAnsi="宋体" w:cs="宋体"/>
          <w:b/>
          <w:bCs/>
          <w:sz w:val="25"/>
          <w:szCs w:val="25"/>
        </w:rPr>
      </w:pPr>
      <w:bookmarkStart w:id="14" w:name="_Toc988902"/>
      <w:r>
        <w:rPr>
          <w:rFonts w:ascii="宋体" w:eastAsia="宋体" w:hAnsi="宋体" w:cs="宋体"/>
          <w:b/>
          <w:bCs/>
          <w:sz w:val="25"/>
          <w:szCs w:val="25"/>
        </w:rPr>
        <w:t>（二） 2025年起首次执行新会计准则调整首次执行当年年初财务报表相关项目情况</w:t>
      </w:r>
      <w:bookmarkEnd w:id="14"/>
    </w:p>
    <w:p w:rsidR="00A25CCA" w:rsidRDefault="00114E98">
      <w:pPr>
        <w:spacing w:before="100" w:after="100" w:line="240" w:lineRule="exact"/>
        <w:rPr>
          <w:rFonts w:ascii="宋体" w:eastAsia="宋体" w:hAnsi="宋体" w:cs="宋体"/>
          <w:sz w:val="18"/>
          <w:szCs w:val="18"/>
        </w:rPr>
      </w:pPr>
      <w:r>
        <w:rPr>
          <w:rFonts w:ascii="宋体" w:eastAsia="宋体" w:hAnsi="宋体" w:cs="宋体"/>
          <w:sz w:val="18"/>
          <w:szCs w:val="18"/>
        </w:rPr>
        <w:t xml:space="preserve">□适用 </w:t>
      </w:r>
      <w:r>
        <w:rPr>
          <w:rFonts w:ascii="宋体" w:eastAsia="宋体" w:hAnsi="宋体" w:cs="宋体"/>
          <w:sz w:val="18"/>
          <w:szCs w:val="18"/>
        </w:rPr>
        <w:sym w:font="Wingdings 2" w:char="F052"/>
      </w:r>
      <w:r>
        <w:rPr>
          <w:rFonts w:ascii="宋体" w:eastAsia="宋体" w:hAnsi="宋体" w:cs="宋体"/>
          <w:sz w:val="18"/>
          <w:szCs w:val="18"/>
        </w:rPr>
        <w:t>不适用</w:t>
      </w:r>
    </w:p>
    <w:p w:rsidR="00A25CCA" w:rsidRDefault="00114E98">
      <w:pPr>
        <w:pStyle w:val="2"/>
        <w:spacing w:before="300" w:after="300" w:line="280" w:lineRule="exact"/>
        <w:rPr>
          <w:rFonts w:ascii="宋体" w:eastAsia="宋体" w:hAnsi="宋体" w:cs="宋体"/>
          <w:b/>
          <w:bCs/>
          <w:sz w:val="25"/>
          <w:szCs w:val="25"/>
        </w:rPr>
      </w:pPr>
      <w:bookmarkStart w:id="15" w:name="_Toc988903"/>
      <w:r>
        <w:rPr>
          <w:rFonts w:ascii="宋体" w:eastAsia="宋体" w:hAnsi="宋体" w:cs="宋体"/>
          <w:b/>
          <w:bCs/>
          <w:sz w:val="25"/>
          <w:szCs w:val="25"/>
        </w:rPr>
        <w:t>（三） 审计报告</w:t>
      </w:r>
      <w:bookmarkEnd w:id="15"/>
    </w:p>
    <w:p w:rsidR="00A25CCA" w:rsidRDefault="00114E98">
      <w:pPr>
        <w:spacing w:before="40" w:after="40" w:line="240" w:lineRule="exact"/>
        <w:rPr>
          <w:rFonts w:ascii="宋体" w:eastAsia="宋体" w:hAnsi="宋体" w:cs="宋体"/>
          <w:sz w:val="18"/>
          <w:szCs w:val="18"/>
        </w:rPr>
      </w:pPr>
      <w:r>
        <w:rPr>
          <w:rFonts w:ascii="宋体" w:eastAsia="宋体" w:hAnsi="宋体" w:cs="宋体"/>
          <w:sz w:val="18"/>
          <w:szCs w:val="18"/>
        </w:rPr>
        <w:t>第三季度财务会计报告是否经过审计</w:t>
      </w:r>
    </w:p>
    <w:p w:rsidR="00A25CCA" w:rsidRDefault="00114E98">
      <w:pPr>
        <w:spacing w:before="40" w:after="40" w:line="240" w:lineRule="exact"/>
        <w:rPr>
          <w:rFonts w:ascii="宋体" w:eastAsia="宋体" w:hAnsi="宋体" w:cs="宋体"/>
          <w:sz w:val="18"/>
          <w:szCs w:val="18"/>
        </w:rPr>
      </w:pPr>
      <w:r>
        <w:rPr>
          <w:rFonts w:ascii="宋体" w:eastAsia="宋体" w:hAnsi="宋体" w:cs="宋体"/>
          <w:sz w:val="18"/>
          <w:szCs w:val="18"/>
        </w:rPr>
        <w:t xml:space="preserve">□是 </w:t>
      </w:r>
      <w:r>
        <w:rPr>
          <w:rFonts w:ascii="宋体" w:eastAsia="宋体" w:hAnsi="宋体" w:cs="宋体"/>
          <w:sz w:val="18"/>
          <w:szCs w:val="18"/>
        </w:rPr>
        <w:sym w:font="Wingdings 2" w:char="F052"/>
      </w:r>
      <w:r>
        <w:rPr>
          <w:rFonts w:ascii="宋体" w:eastAsia="宋体" w:hAnsi="宋体" w:cs="宋体"/>
          <w:sz w:val="18"/>
          <w:szCs w:val="18"/>
        </w:rPr>
        <w:t>否</w:t>
      </w:r>
    </w:p>
    <w:p w:rsidR="00A25CCA" w:rsidRDefault="00114E98">
      <w:pPr>
        <w:spacing w:before="40" w:after="40" w:line="240" w:lineRule="exact"/>
        <w:rPr>
          <w:rFonts w:ascii="宋体" w:eastAsia="宋体" w:hAnsi="宋体" w:cs="宋体"/>
          <w:sz w:val="18"/>
          <w:szCs w:val="18"/>
        </w:rPr>
      </w:pPr>
      <w:r>
        <w:rPr>
          <w:rFonts w:ascii="宋体" w:eastAsia="宋体" w:hAnsi="宋体" w:cs="宋体"/>
          <w:sz w:val="18"/>
          <w:szCs w:val="18"/>
        </w:rPr>
        <w:t>公司第三季度财务会计报告未经审计。</w:t>
      </w:r>
    </w:p>
    <w:p w:rsidR="00A25CCA" w:rsidRDefault="00114E98">
      <w:pPr>
        <w:spacing w:before="40" w:after="40" w:line="240" w:lineRule="exact"/>
        <w:jc w:val="right"/>
        <w:rPr>
          <w:rFonts w:ascii="宋体" w:eastAsia="宋体" w:hAnsi="宋体" w:cs="宋体"/>
          <w:sz w:val="18"/>
          <w:szCs w:val="18"/>
        </w:rPr>
      </w:pPr>
      <w:r>
        <w:rPr>
          <w:rFonts w:ascii="宋体" w:eastAsia="宋体" w:hAnsi="宋体" w:cs="宋体"/>
          <w:sz w:val="18"/>
          <w:szCs w:val="18"/>
        </w:rPr>
        <w:t>浙江威星智能仪表股份有限公司董事会</w:t>
      </w:r>
    </w:p>
    <w:p w:rsidR="00A25CCA" w:rsidRDefault="00114E98">
      <w:pPr>
        <w:spacing w:line="240" w:lineRule="exact"/>
        <w:jc w:val="right"/>
        <w:rPr>
          <w:rFonts w:ascii="宋体" w:eastAsia="宋体" w:hAnsi="宋体" w:cs="宋体"/>
          <w:sz w:val="18"/>
          <w:szCs w:val="18"/>
        </w:rPr>
      </w:pPr>
      <w:r>
        <w:rPr>
          <w:rFonts w:ascii="宋体" w:eastAsia="宋体" w:hAnsi="宋体" w:cs="宋体"/>
          <w:sz w:val="18"/>
          <w:szCs w:val="18"/>
        </w:rPr>
        <w:t>2025年10月28日</w:t>
      </w:r>
    </w:p>
    <w:sectPr w:rsidR="00A25CCA">
      <w:headerReference w:type="default" r:id="rId6"/>
      <w:footerReference w:type="default" r:id="rId7"/>
      <w:pgSz w:w="11905" w:h="16840"/>
      <w:pgMar w:top="1440" w:right="1134" w:bottom="1440" w:left="1134" w:header="850"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E98" w:rsidRDefault="00114E98">
      <w:r>
        <w:separator/>
      </w:r>
    </w:p>
  </w:endnote>
  <w:endnote w:type="continuationSeparator" w:id="0">
    <w:p w:rsidR="00114E98" w:rsidRDefault="00114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CCA" w:rsidRDefault="00114E98">
    <w:pPr>
      <w:pStyle w:val="fotter1"/>
    </w:pPr>
    <w:r>
      <w:fldChar w:fldCharType="begin"/>
    </w:r>
    <w:r>
      <w:instrText>PAGE   \* MERGEFORMAT</w:instrText>
    </w:r>
    <w:r>
      <w:fldChar w:fldCharType="separate"/>
    </w:r>
    <w:r w:rsidR="00472D88">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E98" w:rsidRDefault="00114E98">
      <w:r>
        <w:separator/>
      </w:r>
    </w:p>
  </w:footnote>
  <w:footnote w:type="continuationSeparator" w:id="0">
    <w:p w:rsidR="00114E98" w:rsidRDefault="00114E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CCA" w:rsidRDefault="00114E98">
    <w:pPr>
      <w:pStyle w:val="Header1"/>
      <w:pBdr>
        <w:bottom w:val="single" w:sz="6" w:space="1" w:color="auto"/>
      </w:pBdr>
    </w:pPr>
    <w:r>
      <w:t>浙江威星智能仪表股份有限公司2025年第三季度报告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
  <w:rsids>
    <w:rsidRoot w:val="00A25CCA"/>
    <w:rsid w:val="00114E98"/>
    <w:rsid w:val="00177C3C"/>
    <w:rsid w:val="003E60FE"/>
    <w:rsid w:val="00472D88"/>
    <w:rsid w:val="00520980"/>
    <w:rsid w:val="005B4DC9"/>
    <w:rsid w:val="00A25CCA"/>
    <w:rsid w:val="00C827BE"/>
    <w:rsid w:val="00F94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0321AE01-D504-4E5E-8C65-7582EDEC2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2">
    <w:name w:val="heading 2"/>
    <w:basedOn w:val="a"/>
    <w:next w:val="a"/>
    <w:uiPriority w:val="9"/>
    <w:unhideWhenUsed/>
    <w:qFormat/>
    <w:pPr>
      <w:keepNext/>
      <w:keepLines/>
      <w:spacing w:before="156" w:after="156"/>
      <w:outlineLvl w:val="1"/>
    </w:pPr>
    <w:rPr>
      <w:szCs w:val="21"/>
    </w:rPr>
  </w:style>
  <w:style w:type="paragraph" w:styleId="3">
    <w:name w:val="heading 3"/>
    <w:basedOn w:val="a"/>
    <w:next w:val="a"/>
    <w:uiPriority w:val="99"/>
    <w:qFormat/>
    <w:rsid w:val="00B74129"/>
    <w:pPr>
      <w:keepNext/>
      <w:keepLines/>
      <w:spacing w:before="300" w:after="300" w:line="241" w:lineRule="auto"/>
      <w:jc w:val="both"/>
      <w:outlineLvl w:val="2"/>
    </w:pPr>
    <w:rPr>
      <w:rFonts w:eastAsia="宋体"/>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1">
    <w:name w:val="Header 1"/>
    <w:pPr>
      <w:jc w:val="right"/>
    </w:pPr>
    <w:rPr>
      <w:rFonts w:ascii="宋体" w:eastAsia="宋体"/>
      <w:sz w:val="18"/>
      <w:szCs w:val="18"/>
    </w:rPr>
  </w:style>
  <w:style w:type="paragraph" w:customStyle="1" w:styleId="headingh1">
    <w:name w:val="heading h1"/>
    <w:basedOn w:val="a"/>
    <w:next w:val="a"/>
    <w:uiPriority w:val="9"/>
    <w:qFormat/>
    <w:pPr>
      <w:keepNext/>
      <w:keepLines/>
      <w:spacing w:before="240" w:after="240" w:line="578" w:lineRule="auto"/>
      <w:outlineLvl w:val="0"/>
    </w:pPr>
    <w:rPr>
      <w:kern w:val="44"/>
      <w:sz w:val="44"/>
      <w:szCs w:val="44"/>
    </w:rPr>
  </w:style>
  <w:style w:type="paragraph" w:customStyle="1" w:styleId="fotter1">
    <w:name w:val="fotter 1"/>
    <w:pPr>
      <w:jc w:val="right"/>
    </w:pPr>
    <w:rPr>
      <w:rFonts w:ascii="宋体" w:eastAsia="宋体"/>
      <w:sz w:val="18"/>
      <w:szCs w:val="18"/>
    </w:rPr>
  </w:style>
  <w:style w:type="paragraph" w:styleId="1">
    <w:name w:val="toc 1"/>
    <w:basedOn w:val="a"/>
    <w:next w:val="a"/>
    <w:autoRedefine/>
    <w:uiPriority w:val="39"/>
  </w:style>
  <w:style w:type="paragraph" w:styleId="20">
    <w:name w:val="toc 2"/>
    <w:basedOn w:val="a"/>
    <w:next w:val="a"/>
    <w:autoRedefine/>
    <w:uiPriority w:val="39"/>
    <w:unhideWhenUsed/>
    <w:pPr>
      <w:ind w:leftChars="200" w:left="420"/>
    </w:pPr>
  </w:style>
  <w:style w:type="paragraph" w:styleId="a3">
    <w:name w:val="header"/>
    <w:basedOn w:val="a"/>
    <w:link w:val="Char"/>
    <w:uiPriority w:val="99"/>
    <w:unhideWhenUsed/>
    <w:rsid w:val="005B4D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4DC9"/>
    <w:rPr>
      <w:sz w:val="18"/>
      <w:szCs w:val="18"/>
    </w:rPr>
  </w:style>
  <w:style w:type="paragraph" w:styleId="a4">
    <w:name w:val="footer"/>
    <w:basedOn w:val="a"/>
    <w:link w:val="Char0"/>
    <w:uiPriority w:val="99"/>
    <w:unhideWhenUsed/>
    <w:rsid w:val="005B4DC9"/>
    <w:pPr>
      <w:tabs>
        <w:tab w:val="center" w:pos="4153"/>
        <w:tab w:val="right" w:pos="8306"/>
      </w:tabs>
      <w:snapToGrid w:val="0"/>
    </w:pPr>
    <w:rPr>
      <w:sz w:val="18"/>
      <w:szCs w:val="18"/>
    </w:rPr>
  </w:style>
  <w:style w:type="character" w:customStyle="1" w:styleId="Char0">
    <w:name w:val="页脚 Char"/>
    <w:basedOn w:val="a0"/>
    <w:link w:val="a4"/>
    <w:uiPriority w:val="99"/>
    <w:rsid w:val="005B4D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46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1717</Words>
  <Characters>9788</Characters>
  <Application>Microsoft Office Word</Application>
  <DocSecurity>0</DocSecurity>
  <Lines>81</Lines>
  <Paragraphs>22</Paragraphs>
  <ScaleCrop>false</ScaleCrop>
  <Company/>
  <LinksUpToDate>false</LinksUpToDate>
  <CharactersWithSpaces>11483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余磊</cp:lastModifiedBy>
  <cp:revision>7</cp:revision>
  <dcterms:created xsi:type="dcterms:W3CDTF">2025-10-23T08:52:00Z</dcterms:created>
  <dcterms:modified xsi:type="dcterms:W3CDTF">2025-10-24T09:43:00Z</dcterms:modified>
</cp:coreProperties>
</file>