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5AE01" w14:textId="77777777" w:rsidR="006D324C" w:rsidRDefault="00FF2F67">
      <w:pPr>
        <w:spacing w:line="360" w:lineRule="auto"/>
        <w:rPr>
          <w:rFonts w:ascii="宋体" w:eastAsia="宋体" w:hAnsi="宋体" w:hint="eastAsia"/>
          <w:sz w:val="24"/>
        </w:rPr>
      </w:pPr>
      <w:r>
        <w:rPr>
          <w:rFonts w:ascii="宋体" w:eastAsia="宋体" w:hAnsi="宋体"/>
          <w:sz w:val="24"/>
        </w:rPr>
        <w:t>证券代码：</w:t>
      </w:r>
      <w:r>
        <w:rPr>
          <w:rFonts w:ascii="宋体" w:eastAsia="宋体" w:hAnsi="宋体"/>
          <w:sz w:val="24"/>
        </w:rPr>
        <w:t xml:space="preserve">002849         </w:t>
      </w:r>
      <w:r>
        <w:rPr>
          <w:rFonts w:ascii="宋体" w:eastAsia="宋体" w:hAnsi="宋体"/>
          <w:sz w:val="24"/>
        </w:rPr>
        <w:t>证券简称</w:t>
      </w:r>
      <w:r>
        <w:rPr>
          <w:rFonts w:ascii="宋体" w:eastAsia="宋体" w:hAnsi="宋体" w:hint="eastAsia"/>
          <w:sz w:val="24"/>
        </w:rPr>
        <w:t>：威星智能</w:t>
      </w:r>
      <w:r>
        <w:rPr>
          <w:rFonts w:ascii="宋体" w:eastAsia="宋体" w:hAnsi="宋体" w:hint="eastAsia"/>
          <w:sz w:val="24"/>
        </w:rPr>
        <w:t xml:space="preserve"> </w:t>
      </w:r>
      <w:r>
        <w:rPr>
          <w:rFonts w:ascii="宋体" w:eastAsia="宋体" w:hAnsi="宋体"/>
          <w:sz w:val="24"/>
        </w:rPr>
        <w:t xml:space="preserve">       </w:t>
      </w:r>
      <w:r>
        <w:rPr>
          <w:rFonts w:ascii="宋体" w:eastAsia="宋体" w:hAnsi="宋体" w:hint="eastAsia"/>
          <w:sz w:val="24"/>
        </w:rPr>
        <w:t>公告编号：</w:t>
      </w:r>
      <w:r>
        <w:rPr>
          <w:rFonts w:ascii="宋体" w:eastAsia="宋体" w:hAnsi="宋体" w:hint="eastAsia"/>
          <w:sz w:val="24"/>
        </w:rPr>
        <w:t>20</w:t>
      </w:r>
      <w:r>
        <w:rPr>
          <w:rFonts w:ascii="宋体" w:eastAsia="宋体" w:hAnsi="宋体"/>
          <w:sz w:val="24"/>
        </w:rPr>
        <w:t>2</w:t>
      </w:r>
      <w:r>
        <w:rPr>
          <w:rFonts w:ascii="宋体" w:eastAsia="宋体" w:hAnsi="宋体" w:hint="eastAsia"/>
          <w:sz w:val="24"/>
        </w:rPr>
        <w:t>6</w:t>
      </w:r>
      <w:r>
        <w:rPr>
          <w:rFonts w:ascii="宋体" w:eastAsia="宋体" w:hAnsi="宋体"/>
          <w:sz w:val="24"/>
        </w:rPr>
        <w:t>-0</w:t>
      </w:r>
      <w:r>
        <w:rPr>
          <w:rFonts w:ascii="宋体" w:eastAsia="宋体" w:hAnsi="宋体" w:hint="eastAsia"/>
          <w:sz w:val="24"/>
        </w:rPr>
        <w:t>52</w:t>
      </w:r>
    </w:p>
    <w:p w14:paraId="587129D7" w14:textId="77777777" w:rsidR="006D324C" w:rsidRDefault="006D324C">
      <w:pPr>
        <w:spacing w:line="360" w:lineRule="auto"/>
        <w:jc w:val="center"/>
        <w:rPr>
          <w:rFonts w:ascii="宋体" w:eastAsia="宋体" w:hAnsi="宋体" w:hint="eastAsia"/>
          <w:b/>
          <w:sz w:val="28"/>
        </w:rPr>
      </w:pPr>
    </w:p>
    <w:p w14:paraId="085EEFE8" w14:textId="77777777" w:rsidR="006D324C" w:rsidRDefault="00FF2F67">
      <w:pPr>
        <w:spacing w:line="360" w:lineRule="auto"/>
        <w:jc w:val="center"/>
        <w:rPr>
          <w:rFonts w:ascii="宋体" w:eastAsia="宋体" w:hAnsi="宋体" w:hint="eastAsia"/>
          <w:b/>
          <w:sz w:val="28"/>
        </w:rPr>
      </w:pPr>
      <w:r>
        <w:rPr>
          <w:rFonts w:ascii="宋体" w:eastAsia="宋体" w:hAnsi="宋体"/>
          <w:b/>
          <w:sz w:val="28"/>
        </w:rPr>
        <w:t>浙江威星智能</w:t>
      </w:r>
      <w:r>
        <w:rPr>
          <w:rFonts w:ascii="宋体" w:eastAsia="宋体" w:hAnsi="宋体" w:hint="eastAsia"/>
          <w:b/>
          <w:sz w:val="28"/>
        </w:rPr>
        <w:t>仪表</w:t>
      </w:r>
      <w:r>
        <w:rPr>
          <w:rFonts w:ascii="宋体" w:eastAsia="宋体" w:hAnsi="宋体"/>
          <w:b/>
          <w:sz w:val="28"/>
        </w:rPr>
        <w:t>股份有限公司</w:t>
      </w:r>
    </w:p>
    <w:p w14:paraId="3D263FBE" w14:textId="77777777" w:rsidR="006D324C" w:rsidRDefault="00FF2F67">
      <w:pPr>
        <w:spacing w:line="360" w:lineRule="auto"/>
        <w:jc w:val="center"/>
        <w:rPr>
          <w:rFonts w:ascii="宋体" w:eastAsia="宋体" w:hAnsi="宋体" w:hint="eastAsia"/>
          <w:b/>
          <w:sz w:val="28"/>
        </w:rPr>
      </w:pPr>
      <w:r>
        <w:rPr>
          <w:rFonts w:ascii="宋体" w:eastAsia="宋体" w:hAnsi="宋体" w:hint="eastAsia"/>
          <w:b/>
          <w:sz w:val="28"/>
        </w:rPr>
        <w:t>关于新增</w:t>
      </w:r>
      <w:r>
        <w:rPr>
          <w:rFonts w:ascii="宋体" w:eastAsia="宋体" w:hAnsi="宋体" w:hint="eastAsia"/>
          <w:b/>
          <w:sz w:val="28"/>
        </w:rPr>
        <w:t>2026</w:t>
      </w:r>
      <w:r>
        <w:rPr>
          <w:rFonts w:ascii="宋体" w:eastAsia="宋体" w:hAnsi="宋体" w:hint="eastAsia"/>
          <w:b/>
          <w:sz w:val="28"/>
        </w:rPr>
        <w:t>年度</w:t>
      </w:r>
      <w:r>
        <w:rPr>
          <w:rFonts w:ascii="宋体" w:eastAsia="宋体" w:hAnsi="宋体"/>
          <w:b/>
          <w:sz w:val="28"/>
        </w:rPr>
        <w:t>日常关联交易预计</w:t>
      </w:r>
      <w:r>
        <w:rPr>
          <w:rFonts w:ascii="宋体" w:eastAsia="宋体" w:hAnsi="宋体" w:hint="eastAsia"/>
          <w:b/>
          <w:sz w:val="28"/>
        </w:rPr>
        <w:t>金额的公告</w:t>
      </w:r>
    </w:p>
    <w:p w14:paraId="7F683928" w14:textId="77777777" w:rsidR="006D324C" w:rsidRDefault="006D324C">
      <w:pPr>
        <w:spacing w:line="360" w:lineRule="auto"/>
        <w:jc w:val="center"/>
        <w:rPr>
          <w:rFonts w:ascii="宋体" w:eastAsia="宋体" w:hAnsi="宋体" w:hint="eastAsia"/>
          <w:b/>
          <w:sz w:val="28"/>
        </w:rPr>
      </w:pPr>
    </w:p>
    <w:p w14:paraId="5C65AB44" w14:textId="77777777" w:rsidR="006D324C" w:rsidRDefault="00FF2F67">
      <w:pPr>
        <w:widowControl/>
        <w:pBdr>
          <w:top w:val="single" w:sz="4" w:space="1" w:color="auto"/>
          <w:left w:val="single" w:sz="4" w:space="4" w:color="auto"/>
          <w:bottom w:val="single" w:sz="4" w:space="1" w:color="auto"/>
          <w:right w:val="single" w:sz="4" w:space="0" w:color="auto"/>
        </w:pBdr>
        <w:spacing w:before="240" w:line="360" w:lineRule="auto"/>
        <w:ind w:firstLineChars="200" w:firstLine="482"/>
        <w:rPr>
          <w:rFonts w:ascii="宋体" w:eastAsia="宋体" w:hAnsi="宋体" w:cs="宋体" w:hint="eastAsia"/>
          <w:b/>
          <w:kern w:val="0"/>
          <w:sz w:val="24"/>
          <w:szCs w:val="24"/>
        </w:rPr>
      </w:pPr>
      <w:r>
        <w:rPr>
          <w:rFonts w:ascii="宋体" w:eastAsia="宋体" w:hAnsi="宋体" w:cs="宋体" w:hint="eastAsia"/>
          <w:b/>
          <w:kern w:val="0"/>
          <w:sz w:val="24"/>
        </w:rPr>
        <w:t>本公司及董事会全体成员</w:t>
      </w:r>
      <w:r>
        <w:rPr>
          <w:rFonts w:ascii="宋体" w:eastAsia="宋体" w:hAnsi="宋体" w:cs="宋体"/>
          <w:b/>
          <w:kern w:val="0"/>
          <w:sz w:val="24"/>
        </w:rPr>
        <w:t>保证信息披露的内容真实、准确、完整，没有虚假</w:t>
      </w:r>
      <w:r>
        <w:rPr>
          <w:rFonts w:ascii="宋体" w:eastAsia="宋体" w:hAnsi="宋体" w:cs="宋体"/>
          <w:b/>
          <w:kern w:val="0"/>
          <w:sz w:val="24"/>
          <w:szCs w:val="24"/>
        </w:rPr>
        <w:t>记载、误导性陈述或重大遗漏。</w:t>
      </w:r>
    </w:p>
    <w:p w14:paraId="436833BC" w14:textId="77777777" w:rsidR="006D324C" w:rsidRDefault="00FF2F67">
      <w:pPr>
        <w:spacing w:line="360" w:lineRule="auto"/>
        <w:ind w:firstLineChars="200" w:firstLine="482"/>
        <w:jc w:val="left"/>
        <w:rPr>
          <w:rFonts w:ascii="宋体" w:eastAsia="宋体" w:hAnsi="宋体" w:hint="eastAsia"/>
          <w:b/>
          <w:sz w:val="24"/>
        </w:rPr>
      </w:pPr>
      <w:r>
        <w:rPr>
          <w:rFonts w:ascii="宋体" w:eastAsia="宋体" w:hAnsi="宋体" w:hint="eastAsia"/>
          <w:b/>
          <w:sz w:val="24"/>
        </w:rPr>
        <w:t>一</w:t>
      </w:r>
      <w:r>
        <w:rPr>
          <w:rFonts w:ascii="宋体" w:eastAsia="宋体" w:hAnsi="宋体"/>
          <w:b/>
          <w:sz w:val="24"/>
        </w:rPr>
        <w:t>、日常</w:t>
      </w:r>
      <w:r>
        <w:rPr>
          <w:rFonts w:ascii="宋体" w:eastAsia="宋体" w:hAnsi="宋体" w:hint="eastAsia"/>
          <w:b/>
          <w:sz w:val="24"/>
        </w:rPr>
        <w:t>关</w:t>
      </w:r>
      <w:r>
        <w:rPr>
          <w:rFonts w:ascii="宋体" w:eastAsia="宋体" w:hAnsi="宋体"/>
          <w:b/>
          <w:sz w:val="24"/>
        </w:rPr>
        <w:t>联交易</w:t>
      </w:r>
      <w:r>
        <w:rPr>
          <w:rFonts w:ascii="宋体" w:eastAsia="宋体" w:hAnsi="宋体" w:hint="eastAsia"/>
          <w:b/>
          <w:sz w:val="24"/>
        </w:rPr>
        <w:t>基本情况</w:t>
      </w:r>
    </w:p>
    <w:p w14:paraId="0F957995" w14:textId="77777777" w:rsidR="006D324C" w:rsidRDefault="00FF2F67">
      <w:pPr>
        <w:spacing w:line="360" w:lineRule="auto"/>
        <w:ind w:firstLineChars="200" w:firstLine="482"/>
        <w:jc w:val="left"/>
        <w:rPr>
          <w:rFonts w:ascii="宋体" w:eastAsia="宋体" w:hAnsi="宋体" w:hint="eastAsia"/>
          <w:b/>
          <w:sz w:val="24"/>
        </w:rPr>
      </w:pPr>
      <w:r>
        <w:rPr>
          <w:rFonts w:ascii="宋体" w:eastAsia="宋体" w:hAnsi="宋体" w:hint="eastAsia"/>
          <w:b/>
          <w:sz w:val="24"/>
        </w:rPr>
        <w:t>（一）</w:t>
      </w:r>
      <w:r>
        <w:rPr>
          <w:rFonts w:ascii="宋体" w:eastAsia="宋体" w:hAnsi="宋体"/>
          <w:b/>
          <w:sz w:val="24"/>
        </w:rPr>
        <w:t>2026</w:t>
      </w:r>
      <w:r>
        <w:rPr>
          <w:rFonts w:ascii="宋体" w:eastAsia="宋体" w:hAnsi="宋体"/>
          <w:b/>
          <w:sz w:val="24"/>
        </w:rPr>
        <w:t>年度日常关联交易预计情况</w:t>
      </w:r>
    </w:p>
    <w:p w14:paraId="74660B23" w14:textId="77777777" w:rsidR="006D324C" w:rsidRDefault="00FF2F67">
      <w:pPr>
        <w:spacing w:line="360" w:lineRule="auto"/>
        <w:ind w:firstLineChars="200" w:firstLine="480"/>
        <w:jc w:val="left"/>
        <w:rPr>
          <w:rFonts w:ascii="宋体" w:eastAsia="宋体" w:hAnsi="宋体" w:hint="eastAsia"/>
          <w:sz w:val="24"/>
        </w:rPr>
      </w:pPr>
      <w:r>
        <w:rPr>
          <w:rFonts w:ascii="宋体" w:eastAsia="宋体" w:hAnsi="宋体" w:hint="eastAsia"/>
          <w:sz w:val="24"/>
        </w:rPr>
        <w:t>因生产经营需要，</w:t>
      </w:r>
      <w:r>
        <w:rPr>
          <w:rFonts w:ascii="宋体" w:eastAsia="宋体" w:hAnsi="宋体"/>
          <w:sz w:val="24"/>
        </w:rPr>
        <w:t>浙江威星智能仪表股份有限公司（以下简称</w:t>
      </w:r>
      <w:r>
        <w:rPr>
          <w:rFonts w:ascii="宋体" w:eastAsia="宋体" w:hAnsi="宋体"/>
          <w:sz w:val="24"/>
        </w:rPr>
        <w:t>“</w:t>
      </w:r>
      <w:r>
        <w:rPr>
          <w:rFonts w:ascii="宋体" w:eastAsia="宋体" w:hAnsi="宋体"/>
          <w:sz w:val="24"/>
        </w:rPr>
        <w:t>公司</w:t>
      </w:r>
      <w:r>
        <w:rPr>
          <w:rFonts w:ascii="宋体" w:eastAsia="宋体" w:hAnsi="宋体"/>
          <w:sz w:val="24"/>
        </w:rPr>
        <w:t>”</w:t>
      </w:r>
      <w:r>
        <w:rPr>
          <w:rFonts w:ascii="宋体" w:eastAsia="宋体" w:hAnsi="宋体"/>
          <w:sz w:val="24"/>
        </w:rPr>
        <w:t>或</w:t>
      </w:r>
      <w:r>
        <w:rPr>
          <w:rFonts w:ascii="宋体" w:eastAsia="宋体" w:hAnsi="宋体"/>
          <w:sz w:val="24"/>
        </w:rPr>
        <w:t>“</w:t>
      </w:r>
      <w:r>
        <w:rPr>
          <w:rFonts w:ascii="宋体" w:eastAsia="宋体" w:hAnsi="宋体"/>
          <w:sz w:val="24"/>
        </w:rPr>
        <w:t>威星智能</w:t>
      </w:r>
      <w:r>
        <w:rPr>
          <w:rFonts w:ascii="宋体" w:eastAsia="宋体" w:hAnsi="宋体"/>
          <w:sz w:val="24"/>
        </w:rPr>
        <w:t>”</w:t>
      </w:r>
      <w:r>
        <w:rPr>
          <w:rFonts w:ascii="宋体" w:eastAsia="宋体" w:hAnsi="宋体"/>
          <w:sz w:val="24"/>
        </w:rPr>
        <w:t>）根据日常经营和业务发展需要，公司及控股子公司预计</w:t>
      </w:r>
      <w:r>
        <w:rPr>
          <w:rFonts w:ascii="宋体" w:eastAsia="宋体" w:hAnsi="宋体"/>
          <w:sz w:val="24"/>
        </w:rPr>
        <w:t>2026</w:t>
      </w:r>
      <w:r>
        <w:rPr>
          <w:rFonts w:ascii="宋体" w:eastAsia="宋体" w:hAnsi="宋体"/>
          <w:sz w:val="24"/>
        </w:rPr>
        <w:t>年度内拟与关联方中国燃气控股有限公司下属的公司、深圳市中燃科技有限公司（以下简称</w:t>
      </w:r>
      <w:r>
        <w:rPr>
          <w:rFonts w:ascii="宋体" w:eastAsia="宋体" w:hAnsi="宋体"/>
          <w:sz w:val="24"/>
        </w:rPr>
        <w:t>“</w:t>
      </w:r>
      <w:r>
        <w:rPr>
          <w:rFonts w:ascii="宋体" w:eastAsia="宋体" w:hAnsi="宋体"/>
          <w:sz w:val="24"/>
        </w:rPr>
        <w:t>中燃科技</w:t>
      </w:r>
      <w:r>
        <w:rPr>
          <w:rFonts w:ascii="宋体" w:eastAsia="宋体" w:hAnsi="宋体"/>
          <w:sz w:val="24"/>
        </w:rPr>
        <w:t>”</w:t>
      </w:r>
      <w:r>
        <w:rPr>
          <w:rFonts w:ascii="宋体" w:eastAsia="宋体" w:hAnsi="宋体"/>
          <w:sz w:val="24"/>
        </w:rPr>
        <w:t>）及直接或间接控制中燃科技的其他组织及上述组织直接或间接控制的其他企业、深圳市睿荔科技有限公司（以下简称</w:t>
      </w:r>
      <w:r>
        <w:rPr>
          <w:rFonts w:ascii="宋体" w:eastAsia="宋体" w:hAnsi="宋体"/>
          <w:sz w:val="24"/>
        </w:rPr>
        <w:t>“</w:t>
      </w:r>
      <w:r>
        <w:rPr>
          <w:rFonts w:ascii="宋体" w:eastAsia="宋体" w:hAnsi="宋体"/>
          <w:sz w:val="24"/>
        </w:rPr>
        <w:t>睿荔科技</w:t>
      </w:r>
      <w:r>
        <w:rPr>
          <w:rFonts w:ascii="宋体" w:eastAsia="宋体" w:hAnsi="宋体"/>
          <w:sz w:val="24"/>
        </w:rPr>
        <w:t>”</w:t>
      </w:r>
      <w:r>
        <w:rPr>
          <w:rFonts w:ascii="宋体" w:eastAsia="宋体" w:hAnsi="宋体"/>
          <w:sz w:val="24"/>
        </w:rPr>
        <w:t>）、苏州吾爱易达物联网有限公司（以下简称</w:t>
      </w:r>
      <w:r>
        <w:rPr>
          <w:rFonts w:ascii="宋体" w:eastAsia="宋体" w:hAnsi="宋体"/>
          <w:sz w:val="24"/>
        </w:rPr>
        <w:t>“</w:t>
      </w:r>
      <w:r>
        <w:rPr>
          <w:rFonts w:ascii="宋体" w:eastAsia="宋体" w:hAnsi="宋体"/>
          <w:sz w:val="24"/>
        </w:rPr>
        <w:t>吾爱易达</w:t>
      </w:r>
      <w:r>
        <w:rPr>
          <w:rFonts w:ascii="宋体" w:eastAsia="宋体" w:hAnsi="宋体"/>
          <w:sz w:val="24"/>
        </w:rPr>
        <w:t>”</w:t>
      </w:r>
      <w:r>
        <w:rPr>
          <w:rFonts w:ascii="宋体" w:eastAsia="宋体" w:hAnsi="宋体"/>
          <w:sz w:val="24"/>
        </w:rPr>
        <w:t>）等发生采购原材料、销售产品及提供服务等关联交易，预计日常关联交易总额不超过</w:t>
      </w:r>
      <w:r>
        <w:rPr>
          <w:rFonts w:ascii="宋体" w:eastAsia="宋体" w:hAnsi="宋体"/>
          <w:sz w:val="24"/>
        </w:rPr>
        <w:t>76,000</w:t>
      </w:r>
      <w:r>
        <w:rPr>
          <w:rFonts w:ascii="宋体" w:eastAsia="宋体" w:hAnsi="宋体"/>
          <w:sz w:val="24"/>
        </w:rPr>
        <w:t>万元，其中向关联方采购金额预计不超过</w:t>
      </w:r>
      <w:r>
        <w:rPr>
          <w:rFonts w:ascii="宋体" w:eastAsia="宋体" w:hAnsi="宋体"/>
          <w:sz w:val="24"/>
        </w:rPr>
        <w:t>15,000</w:t>
      </w:r>
      <w:r>
        <w:rPr>
          <w:rFonts w:ascii="宋体" w:eastAsia="宋体" w:hAnsi="宋体"/>
          <w:sz w:val="24"/>
        </w:rPr>
        <w:t>万元，向关联方销售金额预计不超过</w:t>
      </w:r>
      <w:r>
        <w:rPr>
          <w:rFonts w:ascii="宋体" w:eastAsia="宋体" w:hAnsi="宋体"/>
          <w:sz w:val="24"/>
        </w:rPr>
        <w:t>61,000</w:t>
      </w:r>
      <w:r>
        <w:rPr>
          <w:rFonts w:ascii="宋体" w:eastAsia="宋体" w:hAnsi="宋体"/>
          <w:sz w:val="24"/>
        </w:rPr>
        <w:t>万元。</w:t>
      </w:r>
    </w:p>
    <w:p w14:paraId="09C63EE5" w14:textId="77777777" w:rsidR="006D324C" w:rsidRDefault="00FF2F67">
      <w:pPr>
        <w:spacing w:line="360" w:lineRule="auto"/>
        <w:ind w:firstLineChars="200" w:firstLine="480"/>
        <w:jc w:val="left"/>
        <w:rPr>
          <w:rFonts w:ascii="宋体" w:eastAsia="宋体" w:hAnsi="宋体" w:hint="eastAsia"/>
          <w:sz w:val="24"/>
        </w:rPr>
      </w:pPr>
      <w:r>
        <w:rPr>
          <w:rFonts w:ascii="宋体" w:eastAsia="宋体" w:hAnsi="宋体" w:hint="eastAsia"/>
          <w:sz w:val="24"/>
        </w:rPr>
        <w:t>公司于</w:t>
      </w:r>
      <w:r>
        <w:rPr>
          <w:rFonts w:ascii="宋体" w:hAnsi="宋体" w:hint="eastAsia"/>
          <w:sz w:val="24"/>
        </w:rPr>
        <w:t>2026</w:t>
      </w:r>
      <w:r>
        <w:rPr>
          <w:rFonts w:ascii="宋体" w:hAnsi="宋体" w:hint="eastAsia"/>
          <w:sz w:val="24"/>
        </w:rPr>
        <w:t>年</w:t>
      </w:r>
      <w:r>
        <w:rPr>
          <w:rFonts w:ascii="宋体" w:hAnsi="宋体" w:hint="eastAsia"/>
          <w:sz w:val="24"/>
        </w:rPr>
        <w:t>4</w:t>
      </w:r>
      <w:r>
        <w:rPr>
          <w:rFonts w:ascii="宋体" w:hAnsi="宋体" w:hint="eastAsia"/>
          <w:sz w:val="24"/>
        </w:rPr>
        <w:t>月</w:t>
      </w:r>
      <w:r>
        <w:rPr>
          <w:rFonts w:ascii="宋体" w:hAnsi="宋体" w:hint="eastAsia"/>
          <w:sz w:val="24"/>
        </w:rPr>
        <w:t>24</w:t>
      </w:r>
      <w:r>
        <w:rPr>
          <w:rFonts w:ascii="宋体" w:hAnsi="宋体" w:hint="eastAsia"/>
          <w:sz w:val="24"/>
        </w:rPr>
        <w:t>日</w:t>
      </w:r>
      <w:r>
        <w:rPr>
          <w:rFonts w:ascii="宋体" w:eastAsia="宋体" w:hAnsi="宋体"/>
          <w:sz w:val="24"/>
        </w:rPr>
        <w:t>经公司独立董事专门委员会</w:t>
      </w:r>
      <w:r>
        <w:rPr>
          <w:rFonts w:ascii="宋体" w:eastAsia="宋体" w:hAnsi="宋体"/>
          <w:sz w:val="24"/>
        </w:rPr>
        <w:t>2026</w:t>
      </w:r>
      <w:r>
        <w:rPr>
          <w:rFonts w:ascii="宋体" w:eastAsia="宋体" w:hAnsi="宋体"/>
          <w:sz w:val="24"/>
        </w:rPr>
        <w:t>年第一次会议审议通过后，提交第六届董事会第六次会议审议，关联董事黄华兵先生回避表决，出席会议的其余</w:t>
      </w:r>
      <w:r>
        <w:rPr>
          <w:rFonts w:ascii="宋体" w:eastAsia="宋体" w:hAnsi="宋体"/>
          <w:sz w:val="24"/>
        </w:rPr>
        <w:t>6</w:t>
      </w:r>
      <w:r>
        <w:rPr>
          <w:rFonts w:ascii="宋体" w:eastAsia="宋体" w:hAnsi="宋体"/>
          <w:sz w:val="24"/>
        </w:rPr>
        <w:t>名非关联董事全票表决通过。</w:t>
      </w:r>
    </w:p>
    <w:p w14:paraId="1567905D" w14:textId="77777777" w:rsidR="006D324C" w:rsidRDefault="00FF2F67">
      <w:pPr>
        <w:spacing w:line="360" w:lineRule="auto"/>
        <w:ind w:firstLineChars="200" w:firstLine="482"/>
        <w:jc w:val="left"/>
        <w:rPr>
          <w:rFonts w:ascii="宋体" w:hAnsi="宋体" w:hint="eastAsia"/>
          <w:b/>
          <w:sz w:val="24"/>
        </w:rPr>
      </w:pPr>
      <w:r>
        <w:rPr>
          <w:rFonts w:ascii="宋体" w:hAnsi="宋体" w:hint="eastAsia"/>
          <w:b/>
          <w:sz w:val="24"/>
        </w:rPr>
        <w:t>（二）本次新增</w:t>
      </w:r>
      <w:r>
        <w:rPr>
          <w:rFonts w:ascii="宋体" w:hAnsi="宋体" w:hint="eastAsia"/>
          <w:b/>
          <w:sz w:val="24"/>
        </w:rPr>
        <w:t>2026</w:t>
      </w:r>
      <w:r>
        <w:rPr>
          <w:rFonts w:ascii="宋体" w:hAnsi="宋体" w:hint="eastAsia"/>
          <w:b/>
          <w:sz w:val="24"/>
        </w:rPr>
        <w:t>年日常关联交易预计情况</w:t>
      </w:r>
    </w:p>
    <w:p w14:paraId="411A09F7" w14:textId="77777777" w:rsidR="006D324C" w:rsidRDefault="00FF2F67">
      <w:pPr>
        <w:spacing w:line="360" w:lineRule="auto"/>
        <w:ind w:firstLineChars="200" w:firstLine="480"/>
        <w:jc w:val="left"/>
        <w:rPr>
          <w:rFonts w:ascii="宋体" w:hAnsi="宋体" w:hint="eastAsia"/>
          <w:bCs/>
          <w:sz w:val="24"/>
        </w:rPr>
      </w:pPr>
      <w:r>
        <w:rPr>
          <w:rFonts w:ascii="宋体" w:hAnsi="宋体" w:hint="eastAsia"/>
          <w:bCs/>
          <w:sz w:val="24"/>
        </w:rPr>
        <w:t>为满足日常经营及业务发展需求，公司及公司全资子公司拟向关联方</w:t>
      </w:r>
      <w:r>
        <w:rPr>
          <w:rFonts w:ascii="宋体" w:hAnsi="宋体"/>
          <w:bCs/>
          <w:sz w:val="24"/>
        </w:rPr>
        <w:t>宁波聚衡能源设备有限公司</w:t>
      </w:r>
      <w:r>
        <w:rPr>
          <w:rFonts w:ascii="宋体" w:hAnsi="宋体" w:hint="eastAsia"/>
          <w:bCs/>
          <w:sz w:val="24"/>
        </w:rPr>
        <w:t>（以下简称“</w:t>
      </w:r>
      <w:r>
        <w:rPr>
          <w:rFonts w:ascii="宋体" w:hAnsi="宋体"/>
          <w:bCs/>
          <w:sz w:val="24"/>
        </w:rPr>
        <w:t>聚衡能源</w:t>
      </w:r>
      <w:r>
        <w:rPr>
          <w:rFonts w:ascii="宋体" w:hAnsi="宋体" w:hint="eastAsia"/>
          <w:bCs/>
          <w:sz w:val="24"/>
        </w:rPr>
        <w:t>”）采购塑料部件等产品及相关服务，业务规模合计不超过</w:t>
      </w:r>
      <w:r>
        <w:rPr>
          <w:rFonts w:ascii="宋体" w:hAnsi="宋体" w:hint="eastAsia"/>
          <w:bCs/>
          <w:sz w:val="24"/>
        </w:rPr>
        <w:t>1000</w:t>
      </w:r>
      <w:r>
        <w:rPr>
          <w:rFonts w:ascii="宋体" w:hAnsi="宋体" w:hint="eastAsia"/>
          <w:bCs/>
          <w:sz w:val="24"/>
        </w:rPr>
        <w:t>万元。故公司（含控股子公司）预计</w:t>
      </w:r>
      <w:r>
        <w:rPr>
          <w:rFonts w:ascii="宋体" w:hAnsi="宋体" w:hint="eastAsia"/>
          <w:bCs/>
          <w:sz w:val="24"/>
        </w:rPr>
        <w:t>2026</w:t>
      </w:r>
      <w:r>
        <w:rPr>
          <w:rFonts w:ascii="宋体" w:hAnsi="宋体" w:hint="eastAsia"/>
          <w:bCs/>
          <w:sz w:val="24"/>
        </w:rPr>
        <w:t>年新增与关联方日常关联交易</w:t>
      </w:r>
      <w:r>
        <w:rPr>
          <w:rFonts w:ascii="宋体" w:hAnsi="宋体" w:hint="eastAsia"/>
          <w:bCs/>
          <w:sz w:val="24"/>
        </w:rPr>
        <w:t>1000</w:t>
      </w:r>
      <w:r>
        <w:rPr>
          <w:rFonts w:ascii="宋体" w:hAnsi="宋体" w:hint="eastAsia"/>
          <w:bCs/>
          <w:sz w:val="24"/>
        </w:rPr>
        <w:t>万元。</w:t>
      </w:r>
    </w:p>
    <w:p w14:paraId="1EFD1BD4" w14:textId="4C7D5418" w:rsidR="006D324C" w:rsidRDefault="00FF2F67">
      <w:pPr>
        <w:spacing w:line="360" w:lineRule="auto"/>
        <w:ind w:firstLineChars="200" w:firstLine="480"/>
        <w:jc w:val="left"/>
        <w:rPr>
          <w:rFonts w:ascii="宋体" w:hAnsi="宋体" w:hint="eastAsia"/>
          <w:bCs/>
          <w:sz w:val="24"/>
        </w:rPr>
      </w:pPr>
      <w:r>
        <w:rPr>
          <w:rFonts w:ascii="宋体" w:hAnsi="宋体" w:hint="eastAsia"/>
          <w:bCs/>
          <w:sz w:val="24"/>
        </w:rPr>
        <w:t>该《关于新增</w:t>
      </w:r>
      <w:r>
        <w:rPr>
          <w:rFonts w:ascii="宋体" w:hAnsi="宋体" w:hint="eastAsia"/>
          <w:bCs/>
          <w:sz w:val="24"/>
        </w:rPr>
        <w:t>2026</w:t>
      </w:r>
      <w:r>
        <w:rPr>
          <w:rFonts w:ascii="宋体" w:hAnsi="宋体" w:hint="eastAsia"/>
          <w:bCs/>
          <w:sz w:val="24"/>
        </w:rPr>
        <w:t>年度日常关联交易预计金额的议案》于</w:t>
      </w:r>
      <w:r>
        <w:rPr>
          <w:rFonts w:ascii="宋体" w:hAnsi="宋体" w:hint="eastAsia"/>
          <w:bCs/>
          <w:sz w:val="24"/>
        </w:rPr>
        <w:t>2026</w:t>
      </w:r>
      <w:r>
        <w:rPr>
          <w:rFonts w:ascii="宋体" w:hAnsi="宋体" w:hint="eastAsia"/>
          <w:bCs/>
          <w:sz w:val="24"/>
        </w:rPr>
        <w:t>年</w:t>
      </w:r>
      <w:r>
        <w:rPr>
          <w:rFonts w:ascii="宋体" w:hAnsi="宋体" w:hint="eastAsia"/>
          <w:bCs/>
          <w:sz w:val="24"/>
        </w:rPr>
        <w:t>8</w:t>
      </w:r>
      <w:r>
        <w:rPr>
          <w:rFonts w:ascii="宋体" w:hAnsi="宋体" w:hint="eastAsia"/>
          <w:bCs/>
          <w:sz w:val="24"/>
        </w:rPr>
        <w:t>月</w:t>
      </w:r>
      <w:r>
        <w:rPr>
          <w:rFonts w:ascii="宋体" w:hAnsi="宋体" w:hint="eastAsia"/>
          <w:bCs/>
          <w:sz w:val="24"/>
        </w:rPr>
        <w:t>2</w:t>
      </w:r>
      <w:r w:rsidR="00C168C8">
        <w:rPr>
          <w:rFonts w:ascii="宋体" w:hAnsi="宋体" w:hint="eastAsia"/>
          <w:bCs/>
          <w:sz w:val="24"/>
        </w:rPr>
        <w:t>1</w:t>
      </w:r>
      <w:r>
        <w:rPr>
          <w:rFonts w:ascii="宋体" w:hAnsi="宋体" w:hint="eastAsia"/>
          <w:bCs/>
          <w:sz w:val="24"/>
        </w:rPr>
        <w:t>日经</w:t>
      </w:r>
      <w:r>
        <w:rPr>
          <w:rFonts w:ascii="宋体" w:hAnsi="宋体" w:hint="eastAsia"/>
          <w:bCs/>
          <w:sz w:val="24"/>
        </w:rPr>
        <w:t>2026</w:t>
      </w:r>
      <w:r>
        <w:rPr>
          <w:rFonts w:ascii="宋体" w:hAnsi="宋体" w:hint="eastAsia"/>
          <w:bCs/>
          <w:sz w:val="24"/>
        </w:rPr>
        <w:t>年第三次独立董事专门会议及第六届董事会</w:t>
      </w:r>
      <w:r>
        <w:rPr>
          <w:rFonts w:ascii="宋体" w:hAnsi="宋体"/>
          <w:bCs/>
          <w:sz w:val="24"/>
        </w:rPr>
        <w:t>审计委员会</w:t>
      </w:r>
      <w:r>
        <w:rPr>
          <w:rFonts w:ascii="宋体" w:hAnsi="宋体"/>
          <w:bCs/>
          <w:sz w:val="24"/>
        </w:rPr>
        <w:t>2026</w:t>
      </w:r>
      <w:r>
        <w:rPr>
          <w:rFonts w:ascii="宋体" w:hAnsi="宋体"/>
          <w:bCs/>
          <w:sz w:val="24"/>
        </w:rPr>
        <w:t>年第三</w:t>
      </w:r>
      <w:r>
        <w:rPr>
          <w:rFonts w:ascii="宋体" w:hAnsi="宋体"/>
          <w:bCs/>
          <w:sz w:val="24"/>
        </w:rPr>
        <w:lastRenderedPageBreak/>
        <w:t>次</w:t>
      </w:r>
      <w:r>
        <w:rPr>
          <w:rFonts w:ascii="宋体" w:hAnsi="宋体" w:hint="eastAsia"/>
          <w:bCs/>
          <w:sz w:val="24"/>
        </w:rPr>
        <w:t>会议审议通过后，提交第六届董事会第八次会议审议，</w:t>
      </w:r>
      <w:r>
        <w:rPr>
          <w:rFonts w:ascii="宋体" w:hAnsi="宋体"/>
          <w:bCs/>
          <w:sz w:val="24"/>
        </w:rPr>
        <w:t>出席会议的</w:t>
      </w:r>
      <w:r>
        <w:rPr>
          <w:rFonts w:ascii="宋体" w:hAnsi="宋体" w:hint="eastAsia"/>
          <w:bCs/>
          <w:sz w:val="24"/>
        </w:rPr>
        <w:t>7</w:t>
      </w:r>
      <w:r>
        <w:rPr>
          <w:rFonts w:ascii="宋体" w:hAnsi="宋体"/>
          <w:bCs/>
          <w:sz w:val="24"/>
        </w:rPr>
        <w:t>名非关联董事全票表决通过。</w:t>
      </w:r>
    </w:p>
    <w:p w14:paraId="6F215859" w14:textId="77777777" w:rsidR="006D324C" w:rsidRDefault="00FF2F67">
      <w:pPr>
        <w:spacing w:line="360" w:lineRule="auto"/>
        <w:ind w:firstLineChars="200" w:firstLine="480"/>
        <w:jc w:val="left"/>
        <w:rPr>
          <w:rFonts w:ascii="宋体" w:hAnsi="宋体" w:hint="eastAsia"/>
          <w:bCs/>
          <w:sz w:val="24"/>
        </w:rPr>
      </w:pPr>
      <w:r>
        <w:rPr>
          <w:rFonts w:ascii="宋体" w:hAnsi="宋体" w:hint="eastAsia"/>
          <w:bCs/>
          <w:sz w:val="24"/>
        </w:rPr>
        <w:t>本次新增日常关联交易预计事项尚需提交公司股东会审议，与该关联交易有关的关联股东须在股东会上对该议案回避表决。本次新增日常关联交易预计事项不构成《上市公司重大资产重组管理办法》规定的重大资产重组，无需经过有关部门批准。</w:t>
      </w:r>
    </w:p>
    <w:p w14:paraId="6D474158" w14:textId="77777777" w:rsidR="006D324C" w:rsidRDefault="00FF2F67">
      <w:pPr>
        <w:spacing w:line="360" w:lineRule="auto"/>
        <w:ind w:firstLineChars="200" w:firstLine="480"/>
        <w:jc w:val="left"/>
        <w:rPr>
          <w:rFonts w:ascii="宋体" w:hAnsi="宋体" w:hint="eastAsia"/>
          <w:bCs/>
          <w:sz w:val="24"/>
        </w:rPr>
      </w:pPr>
      <w:r>
        <w:rPr>
          <w:rFonts w:ascii="宋体" w:hAnsi="宋体" w:hint="eastAsia"/>
          <w:bCs/>
          <w:sz w:val="24"/>
        </w:rPr>
        <w:t>（三）</w:t>
      </w:r>
      <w:r>
        <w:rPr>
          <w:rFonts w:ascii="宋体" w:hAnsi="宋体"/>
          <w:bCs/>
          <w:sz w:val="24"/>
        </w:rPr>
        <w:t>新增</w:t>
      </w:r>
      <w:r>
        <w:rPr>
          <w:rFonts w:ascii="宋体" w:hAnsi="宋体"/>
          <w:bCs/>
          <w:sz w:val="24"/>
        </w:rPr>
        <w:t>2026</w:t>
      </w:r>
      <w:r>
        <w:rPr>
          <w:rFonts w:ascii="宋体" w:hAnsi="宋体"/>
          <w:bCs/>
          <w:sz w:val="24"/>
        </w:rPr>
        <w:t>年度日常关联交易类别和金额</w:t>
      </w:r>
    </w:p>
    <w:p w14:paraId="61A2C647" w14:textId="77777777" w:rsidR="006D324C" w:rsidRDefault="00FF2F67">
      <w:pPr>
        <w:spacing w:line="360" w:lineRule="auto"/>
        <w:ind w:firstLineChars="200" w:firstLine="480"/>
        <w:jc w:val="right"/>
        <w:rPr>
          <w:rFonts w:ascii="宋体" w:hAnsi="宋体" w:hint="eastAsia"/>
          <w:bCs/>
          <w:sz w:val="24"/>
        </w:rPr>
      </w:pPr>
      <w:r>
        <w:rPr>
          <w:rFonts w:ascii="宋体" w:hAnsi="宋体" w:hint="eastAsia"/>
          <w:bCs/>
          <w:sz w:val="24"/>
        </w:rPr>
        <w:t>单位：人民币万元</w:t>
      </w:r>
    </w:p>
    <w:tbl>
      <w:tblPr>
        <w:tblStyle w:val="aa"/>
        <w:tblW w:w="9640" w:type="dxa"/>
        <w:tblInd w:w="-431" w:type="dxa"/>
        <w:tblLayout w:type="fixed"/>
        <w:tblLook w:val="04A0" w:firstRow="1" w:lastRow="0" w:firstColumn="1" w:lastColumn="0" w:noHBand="0" w:noVBand="1"/>
      </w:tblPr>
      <w:tblGrid>
        <w:gridCol w:w="1048"/>
        <w:gridCol w:w="1607"/>
        <w:gridCol w:w="1599"/>
        <w:gridCol w:w="850"/>
        <w:gridCol w:w="1701"/>
        <w:gridCol w:w="1559"/>
        <w:gridCol w:w="1276"/>
      </w:tblGrid>
      <w:tr w:rsidR="006D324C" w14:paraId="6B27BBDB" w14:textId="77777777">
        <w:trPr>
          <w:trHeight w:val="833"/>
        </w:trPr>
        <w:tc>
          <w:tcPr>
            <w:tcW w:w="1048" w:type="dxa"/>
            <w:shd w:val="clear" w:color="auto" w:fill="D9D9D9" w:themeFill="background1" w:themeFillShade="D9"/>
            <w:vAlign w:val="center"/>
          </w:tcPr>
          <w:p w14:paraId="3C9D6EA1" w14:textId="77777777" w:rsidR="006D324C" w:rsidRDefault="00FF2F67">
            <w:pPr>
              <w:pStyle w:val="Default"/>
              <w:spacing w:line="360" w:lineRule="auto"/>
              <w:jc w:val="center"/>
              <w:rPr>
                <w:rFonts w:hAnsi="宋体" w:hint="eastAsia"/>
                <w:b/>
                <w:sz w:val="21"/>
                <w:szCs w:val="21"/>
              </w:rPr>
            </w:pPr>
            <w:r>
              <w:rPr>
                <w:rFonts w:hAnsi="宋体" w:hint="eastAsia"/>
                <w:b/>
                <w:sz w:val="21"/>
                <w:szCs w:val="21"/>
              </w:rPr>
              <w:t>关联交易类别</w:t>
            </w:r>
          </w:p>
        </w:tc>
        <w:tc>
          <w:tcPr>
            <w:tcW w:w="1607" w:type="dxa"/>
            <w:shd w:val="clear" w:color="auto" w:fill="D9D9D9" w:themeFill="background1" w:themeFillShade="D9"/>
            <w:vAlign w:val="center"/>
          </w:tcPr>
          <w:p w14:paraId="7EA9F259" w14:textId="77777777" w:rsidR="006D324C" w:rsidRDefault="00FF2F67">
            <w:pPr>
              <w:pStyle w:val="Default"/>
              <w:spacing w:line="360" w:lineRule="auto"/>
              <w:jc w:val="center"/>
              <w:rPr>
                <w:rFonts w:hAnsi="宋体" w:hint="eastAsia"/>
                <w:b/>
                <w:sz w:val="21"/>
                <w:szCs w:val="21"/>
              </w:rPr>
            </w:pPr>
            <w:r>
              <w:rPr>
                <w:rFonts w:hAnsi="宋体" w:hint="eastAsia"/>
                <w:b/>
                <w:sz w:val="21"/>
                <w:szCs w:val="21"/>
              </w:rPr>
              <w:t>关联人</w:t>
            </w:r>
          </w:p>
        </w:tc>
        <w:tc>
          <w:tcPr>
            <w:tcW w:w="1599" w:type="dxa"/>
            <w:shd w:val="clear" w:color="auto" w:fill="D9D9D9" w:themeFill="background1" w:themeFillShade="D9"/>
            <w:vAlign w:val="center"/>
          </w:tcPr>
          <w:p w14:paraId="58C334B2" w14:textId="77777777" w:rsidR="006D324C" w:rsidRDefault="00FF2F67">
            <w:pPr>
              <w:pStyle w:val="Default"/>
              <w:spacing w:line="360" w:lineRule="auto"/>
              <w:jc w:val="center"/>
              <w:rPr>
                <w:rFonts w:hAnsi="宋体" w:hint="eastAsia"/>
                <w:b/>
                <w:sz w:val="21"/>
                <w:szCs w:val="21"/>
              </w:rPr>
            </w:pPr>
            <w:r>
              <w:rPr>
                <w:rFonts w:hAnsi="宋体" w:hint="eastAsia"/>
                <w:b/>
                <w:sz w:val="21"/>
                <w:szCs w:val="21"/>
              </w:rPr>
              <w:t>关联</w:t>
            </w:r>
            <w:r>
              <w:rPr>
                <w:rFonts w:hAnsi="宋体"/>
                <w:b/>
                <w:sz w:val="21"/>
                <w:szCs w:val="21"/>
              </w:rPr>
              <w:t>交易内容</w:t>
            </w:r>
          </w:p>
        </w:tc>
        <w:tc>
          <w:tcPr>
            <w:tcW w:w="850" w:type="dxa"/>
            <w:shd w:val="clear" w:color="auto" w:fill="D9D9D9" w:themeFill="background1" w:themeFillShade="D9"/>
            <w:vAlign w:val="center"/>
          </w:tcPr>
          <w:p w14:paraId="53C96DF3" w14:textId="77777777" w:rsidR="006D324C" w:rsidRDefault="00FF2F67">
            <w:pPr>
              <w:pStyle w:val="Default"/>
              <w:spacing w:line="360" w:lineRule="auto"/>
              <w:jc w:val="center"/>
              <w:rPr>
                <w:rFonts w:hAnsi="宋体" w:hint="eastAsia"/>
                <w:b/>
                <w:color w:val="auto"/>
                <w:sz w:val="21"/>
                <w:szCs w:val="21"/>
              </w:rPr>
            </w:pPr>
            <w:r>
              <w:rPr>
                <w:rFonts w:hAnsi="宋体" w:hint="eastAsia"/>
                <w:b/>
                <w:color w:val="auto"/>
                <w:sz w:val="21"/>
                <w:szCs w:val="21"/>
              </w:rPr>
              <w:t>关联交易定价原则</w:t>
            </w:r>
          </w:p>
        </w:tc>
        <w:tc>
          <w:tcPr>
            <w:tcW w:w="1701" w:type="dxa"/>
            <w:shd w:val="clear" w:color="auto" w:fill="D9D9D9" w:themeFill="background1" w:themeFillShade="D9"/>
            <w:vAlign w:val="center"/>
          </w:tcPr>
          <w:p w14:paraId="718BE295" w14:textId="77777777" w:rsidR="006D324C" w:rsidRDefault="00FF2F67">
            <w:pPr>
              <w:pStyle w:val="Default"/>
              <w:spacing w:line="360" w:lineRule="auto"/>
              <w:jc w:val="center"/>
              <w:rPr>
                <w:rFonts w:hAnsi="宋体" w:hint="eastAsia"/>
                <w:b/>
                <w:color w:val="auto"/>
                <w:sz w:val="21"/>
                <w:szCs w:val="21"/>
              </w:rPr>
            </w:pPr>
            <w:r>
              <w:rPr>
                <w:rFonts w:hAnsi="宋体"/>
                <w:b/>
                <w:szCs w:val="21"/>
              </w:rPr>
              <w:t>预计金额</w:t>
            </w:r>
          </w:p>
        </w:tc>
        <w:tc>
          <w:tcPr>
            <w:tcW w:w="1559" w:type="dxa"/>
            <w:shd w:val="clear" w:color="auto" w:fill="D9D9D9" w:themeFill="background1" w:themeFillShade="D9"/>
            <w:vAlign w:val="center"/>
          </w:tcPr>
          <w:p w14:paraId="1E807022" w14:textId="77777777" w:rsidR="006D324C" w:rsidRDefault="00FF2F67">
            <w:pPr>
              <w:pStyle w:val="Default"/>
              <w:spacing w:line="360" w:lineRule="auto"/>
              <w:ind w:right="211"/>
              <w:jc w:val="center"/>
              <w:rPr>
                <w:rFonts w:hAnsi="宋体" w:hint="eastAsia"/>
                <w:b/>
                <w:color w:val="auto"/>
                <w:sz w:val="21"/>
                <w:szCs w:val="21"/>
              </w:rPr>
            </w:pPr>
            <w:r>
              <w:rPr>
                <w:rFonts w:hAnsi="宋体" w:hint="eastAsia"/>
                <w:b/>
                <w:color w:val="auto"/>
                <w:sz w:val="21"/>
                <w:szCs w:val="21"/>
              </w:rPr>
              <w:t>截至披露日已发生金额</w:t>
            </w:r>
          </w:p>
        </w:tc>
        <w:tc>
          <w:tcPr>
            <w:tcW w:w="1276" w:type="dxa"/>
            <w:shd w:val="clear" w:color="auto" w:fill="D9D9D9" w:themeFill="background1" w:themeFillShade="D9"/>
            <w:vAlign w:val="center"/>
          </w:tcPr>
          <w:p w14:paraId="405A8186" w14:textId="77777777" w:rsidR="006D324C" w:rsidRDefault="00FF2F67">
            <w:pPr>
              <w:pStyle w:val="Default"/>
              <w:spacing w:line="360" w:lineRule="auto"/>
              <w:jc w:val="center"/>
              <w:rPr>
                <w:rFonts w:hAnsi="宋体" w:hint="eastAsia"/>
                <w:b/>
                <w:sz w:val="21"/>
                <w:szCs w:val="21"/>
              </w:rPr>
            </w:pPr>
            <w:r>
              <w:rPr>
                <w:rFonts w:hAnsi="宋体" w:hint="eastAsia"/>
                <w:b/>
                <w:sz w:val="21"/>
                <w:szCs w:val="21"/>
              </w:rPr>
              <w:t>上年发生金额</w:t>
            </w:r>
          </w:p>
        </w:tc>
      </w:tr>
      <w:tr w:rsidR="006D324C" w14:paraId="21AA6263" w14:textId="77777777">
        <w:trPr>
          <w:trHeight w:val="938"/>
        </w:trPr>
        <w:tc>
          <w:tcPr>
            <w:tcW w:w="1048" w:type="dxa"/>
            <w:vAlign w:val="center"/>
          </w:tcPr>
          <w:p w14:paraId="6E5EBA04" w14:textId="77777777" w:rsidR="006D324C" w:rsidRDefault="00FF2F67">
            <w:pPr>
              <w:pStyle w:val="Default"/>
              <w:spacing w:line="360" w:lineRule="auto"/>
              <w:jc w:val="center"/>
              <w:rPr>
                <w:rFonts w:hAnsi="宋体" w:hint="eastAsia"/>
                <w:color w:val="000000" w:themeColor="text1"/>
                <w:sz w:val="21"/>
                <w:szCs w:val="21"/>
              </w:rPr>
            </w:pPr>
            <w:r>
              <w:rPr>
                <w:rFonts w:hAnsi="宋体" w:hint="eastAsia"/>
                <w:color w:val="000000" w:themeColor="text1"/>
                <w:sz w:val="21"/>
                <w:szCs w:val="21"/>
              </w:rPr>
              <w:t>向关联人采购商品</w:t>
            </w:r>
          </w:p>
        </w:tc>
        <w:tc>
          <w:tcPr>
            <w:tcW w:w="1607" w:type="dxa"/>
            <w:vAlign w:val="center"/>
          </w:tcPr>
          <w:p w14:paraId="4313163A" w14:textId="77777777" w:rsidR="006D324C" w:rsidRDefault="00FF2F67">
            <w:pPr>
              <w:pStyle w:val="Default"/>
              <w:spacing w:line="360" w:lineRule="auto"/>
              <w:jc w:val="center"/>
              <w:rPr>
                <w:rFonts w:hAnsi="宋体" w:hint="eastAsia"/>
                <w:color w:val="000000" w:themeColor="text1"/>
                <w:sz w:val="21"/>
                <w:szCs w:val="21"/>
              </w:rPr>
            </w:pPr>
            <w:r>
              <w:rPr>
                <w:rFonts w:hAnsi="宋体"/>
                <w:bCs/>
              </w:rPr>
              <w:t>宁波聚衡能源设备有限公司</w:t>
            </w:r>
          </w:p>
        </w:tc>
        <w:tc>
          <w:tcPr>
            <w:tcW w:w="1599" w:type="dxa"/>
            <w:vAlign w:val="center"/>
          </w:tcPr>
          <w:p w14:paraId="4E4882C4" w14:textId="77777777" w:rsidR="006D324C" w:rsidRDefault="00FF2F67">
            <w:pPr>
              <w:pStyle w:val="Default"/>
              <w:spacing w:line="360" w:lineRule="auto"/>
              <w:jc w:val="center"/>
              <w:rPr>
                <w:rFonts w:hAnsi="宋体" w:hint="eastAsia"/>
                <w:color w:val="000000" w:themeColor="text1"/>
                <w:sz w:val="21"/>
                <w:szCs w:val="21"/>
              </w:rPr>
            </w:pPr>
            <w:r>
              <w:rPr>
                <w:rFonts w:hAnsi="宋体" w:hint="eastAsia"/>
                <w:color w:val="000000" w:themeColor="text1"/>
                <w:sz w:val="21"/>
                <w:szCs w:val="21"/>
              </w:rPr>
              <w:t>采购</w:t>
            </w:r>
            <w:r>
              <w:rPr>
                <w:rFonts w:hAnsi="宋体"/>
                <w:color w:val="000000" w:themeColor="text1"/>
                <w:sz w:val="21"/>
                <w:szCs w:val="21"/>
              </w:rPr>
              <w:t>塑料部件等产品及相关服务</w:t>
            </w:r>
          </w:p>
        </w:tc>
        <w:tc>
          <w:tcPr>
            <w:tcW w:w="850" w:type="dxa"/>
            <w:vAlign w:val="center"/>
          </w:tcPr>
          <w:p w14:paraId="4ECD6EEC" w14:textId="77777777" w:rsidR="006D324C" w:rsidRDefault="00FF2F67">
            <w:pPr>
              <w:spacing w:line="360" w:lineRule="auto"/>
              <w:jc w:val="center"/>
              <w:rPr>
                <w:rFonts w:ascii="宋体" w:eastAsia="宋体" w:hAnsi="宋体" w:hint="eastAsia"/>
                <w:color w:val="000000" w:themeColor="text1"/>
                <w:kern w:val="0"/>
                <w:szCs w:val="21"/>
              </w:rPr>
            </w:pPr>
            <w:r>
              <w:rPr>
                <w:rFonts w:ascii="宋体" w:eastAsia="宋体" w:hAnsi="宋体" w:hint="eastAsia"/>
                <w:color w:val="000000" w:themeColor="text1"/>
                <w:kern w:val="0"/>
                <w:szCs w:val="21"/>
              </w:rPr>
              <w:t>市场价</w:t>
            </w:r>
          </w:p>
        </w:tc>
        <w:tc>
          <w:tcPr>
            <w:tcW w:w="1701" w:type="dxa"/>
            <w:vAlign w:val="center"/>
          </w:tcPr>
          <w:p w14:paraId="3A2525C8" w14:textId="77777777" w:rsidR="006D324C" w:rsidRDefault="00FF2F67">
            <w:pPr>
              <w:spacing w:line="360" w:lineRule="auto"/>
              <w:jc w:val="right"/>
              <w:rPr>
                <w:rFonts w:ascii="宋体" w:eastAsia="宋体" w:hAnsi="宋体" w:hint="eastAsia"/>
                <w:color w:val="FF0000"/>
                <w:kern w:val="0"/>
                <w:szCs w:val="21"/>
              </w:rPr>
            </w:pPr>
            <w:r>
              <w:rPr>
                <w:rFonts w:ascii="宋体" w:eastAsia="宋体" w:hAnsi="宋体" w:hint="eastAsia"/>
                <w:color w:val="000000" w:themeColor="text1"/>
                <w:kern w:val="0"/>
                <w:szCs w:val="21"/>
              </w:rPr>
              <w:t>1000</w:t>
            </w:r>
          </w:p>
        </w:tc>
        <w:tc>
          <w:tcPr>
            <w:tcW w:w="1559" w:type="dxa"/>
            <w:vAlign w:val="center"/>
          </w:tcPr>
          <w:p w14:paraId="3E273F86" w14:textId="77777777" w:rsidR="006D324C" w:rsidRDefault="00FF2F67">
            <w:pPr>
              <w:spacing w:line="360" w:lineRule="auto"/>
              <w:jc w:val="center"/>
              <w:rPr>
                <w:rFonts w:ascii="宋体" w:eastAsia="宋体" w:hAnsi="宋体" w:hint="eastAsia"/>
                <w:color w:val="000000" w:themeColor="text1"/>
                <w:kern w:val="0"/>
                <w:szCs w:val="21"/>
              </w:rPr>
            </w:pPr>
            <w:r>
              <w:rPr>
                <w:rFonts w:ascii="宋体" w:eastAsia="宋体" w:hAnsi="宋体" w:hint="eastAsia"/>
                <w:color w:val="000000" w:themeColor="text1"/>
                <w:kern w:val="0"/>
                <w:szCs w:val="21"/>
              </w:rPr>
              <w:t>0</w:t>
            </w:r>
          </w:p>
        </w:tc>
        <w:tc>
          <w:tcPr>
            <w:tcW w:w="1276" w:type="dxa"/>
            <w:vAlign w:val="center"/>
          </w:tcPr>
          <w:p w14:paraId="02BCD7AB" w14:textId="77777777" w:rsidR="006D324C" w:rsidRDefault="00FF2F67">
            <w:pPr>
              <w:spacing w:line="360" w:lineRule="auto"/>
              <w:jc w:val="right"/>
              <w:rPr>
                <w:rFonts w:ascii="宋体" w:eastAsia="宋体" w:hAnsi="宋体" w:hint="eastAsia"/>
                <w:color w:val="FF0000"/>
                <w:kern w:val="0"/>
                <w:szCs w:val="21"/>
              </w:rPr>
            </w:pPr>
            <w:r>
              <w:rPr>
                <w:rFonts w:ascii="宋体" w:eastAsia="宋体" w:hAnsi="宋体" w:hint="eastAsia"/>
                <w:color w:val="000000" w:themeColor="text1"/>
                <w:kern w:val="0"/>
                <w:szCs w:val="21"/>
              </w:rPr>
              <w:t>-</w:t>
            </w:r>
          </w:p>
        </w:tc>
      </w:tr>
    </w:tbl>
    <w:p w14:paraId="208D2A57" w14:textId="77777777" w:rsidR="006D324C" w:rsidRDefault="00FF2F67">
      <w:pPr>
        <w:spacing w:line="360" w:lineRule="auto"/>
        <w:ind w:firstLineChars="200" w:firstLine="482"/>
        <w:jc w:val="left"/>
        <w:rPr>
          <w:rFonts w:ascii="宋体" w:hAnsi="宋体" w:hint="eastAsia"/>
          <w:b/>
          <w:sz w:val="24"/>
        </w:rPr>
      </w:pPr>
      <w:r>
        <w:rPr>
          <w:rFonts w:ascii="宋体" w:hAnsi="宋体" w:hint="eastAsia"/>
          <w:b/>
          <w:sz w:val="24"/>
        </w:rPr>
        <w:t>二</w:t>
      </w:r>
      <w:r>
        <w:rPr>
          <w:rFonts w:ascii="宋体" w:hAnsi="宋体"/>
          <w:b/>
          <w:sz w:val="24"/>
        </w:rPr>
        <w:t>、关联方介绍和关联关系</w:t>
      </w:r>
    </w:p>
    <w:p w14:paraId="629E02D3" w14:textId="77777777" w:rsidR="006D324C" w:rsidRDefault="00FF2F67">
      <w:pPr>
        <w:spacing w:line="360" w:lineRule="auto"/>
        <w:ind w:firstLineChars="200" w:firstLine="482"/>
        <w:jc w:val="left"/>
        <w:rPr>
          <w:rFonts w:ascii="宋体" w:eastAsia="宋体" w:hAnsi="宋体" w:cs="Calibri" w:hint="eastAsia"/>
          <w:b/>
          <w:sz w:val="24"/>
          <w:szCs w:val="21"/>
        </w:rPr>
      </w:pPr>
      <w:r>
        <w:rPr>
          <w:rFonts w:ascii="宋体" w:eastAsia="宋体" w:hAnsi="宋体" w:cs="Calibri" w:hint="eastAsia"/>
          <w:b/>
          <w:sz w:val="24"/>
          <w:szCs w:val="21"/>
        </w:rPr>
        <w:t>（一）</w:t>
      </w:r>
      <w:r>
        <w:rPr>
          <w:rFonts w:ascii="宋体" w:eastAsia="宋体" w:hAnsi="宋体" w:cs="Calibri"/>
          <w:b/>
          <w:sz w:val="24"/>
          <w:szCs w:val="21"/>
        </w:rPr>
        <w:t>关联方介绍</w:t>
      </w:r>
    </w:p>
    <w:p w14:paraId="62DF53D5" w14:textId="77777777" w:rsidR="006D324C" w:rsidRDefault="00FF2F67">
      <w:pPr>
        <w:spacing w:line="360" w:lineRule="auto"/>
        <w:ind w:firstLineChars="200" w:firstLine="482"/>
        <w:jc w:val="left"/>
        <w:rPr>
          <w:rFonts w:ascii="宋体" w:eastAsia="宋体" w:hAnsi="宋体" w:cs="Calibri" w:hint="eastAsia"/>
          <w:b/>
          <w:sz w:val="24"/>
          <w:szCs w:val="21"/>
        </w:rPr>
      </w:pPr>
      <w:r>
        <w:rPr>
          <w:rFonts w:ascii="宋体" w:eastAsia="宋体" w:hAnsi="宋体" w:cs="Calibri" w:hint="eastAsia"/>
          <w:b/>
          <w:sz w:val="24"/>
          <w:szCs w:val="21"/>
        </w:rPr>
        <w:t>1</w:t>
      </w:r>
      <w:r>
        <w:rPr>
          <w:rFonts w:ascii="宋体" w:eastAsia="宋体" w:hAnsi="宋体" w:cs="Calibri" w:hint="eastAsia"/>
          <w:b/>
          <w:sz w:val="24"/>
          <w:szCs w:val="21"/>
        </w:rPr>
        <w:t>、基本情况</w:t>
      </w:r>
    </w:p>
    <w:p w14:paraId="2CA003E6" w14:textId="77777777" w:rsidR="006D324C" w:rsidRDefault="00FF2F67">
      <w:pPr>
        <w:spacing w:line="360" w:lineRule="auto"/>
        <w:ind w:firstLineChars="200" w:firstLine="480"/>
        <w:jc w:val="left"/>
        <w:rPr>
          <w:rFonts w:ascii="宋体" w:eastAsia="宋体" w:hAnsi="宋体" w:cs="Calibri" w:hint="eastAsia"/>
          <w:sz w:val="24"/>
          <w:szCs w:val="21"/>
        </w:rPr>
      </w:pPr>
      <w:r>
        <w:rPr>
          <w:rFonts w:ascii="宋体" w:eastAsia="宋体" w:hAnsi="宋体" w:cs="Calibri" w:hint="eastAsia"/>
          <w:sz w:val="24"/>
          <w:szCs w:val="21"/>
        </w:rPr>
        <w:t>公司名称：</w:t>
      </w:r>
      <w:r>
        <w:rPr>
          <w:rFonts w:ascii="宋体" w:eastAsia="宋体" w:hAnsi="宋体" w:cs="Calibri"/>
          <w:sz w:val="24"/>
          <w:szCs w:val="21"/>
        </w:rPr>
        <w:t>宁波聚衡能源设备有限公司</w:t>
      </w:r>
      <w:r>
        <w:rPr>
          <w:rFonts w:ascii="宋体" w:eastAsia="宋体" w:hAnsi="宋体" w:cs="Calibri" w:hint="eastAsia"/>
          <w:sz w:val="24"/>
          <w:szCs w:val="21"/>
        </w:rPr>
        <w:t>（以下简称“</w:t>
      </w:r>
      <w:r>
        <w:rPr>
          <w:rFonts w:ascii="宋体" w:eastAsia="宋体" w:hAnsi="宋体" w:cs="Calibri"/>
          <w:sz w:val="24"/>
          <w:szCs w:val="21"/>
        </w:rPr>
        <w:t>聚衡能源</w:t>
      </w:r>
      <w:r>
        <w:rPr>
          <w:rFonts w:ascii="宋体" w:eastAsia="宋体" w:hAnsi="宋体" w:cs="Calibri" w:hint="eastAsia"/>
          <w:sz w:val="24"/>
          <w:szCs w:val="21"/>
        </w:rPr>
        <w:t>”）</w:t>
      </w:r>
    </w:p>
    <w:p w14:paraId="11C24927" w14:textId="77777777" w:rsidR="006D324C" w:rsidRDefault="00FF2F67">
      <w:pPr>
        <w:spacing w:line="360" w:lineRule="auto"/>
        <w:ind w:firstLineChars="200" w:firstLine="480"/>
        <w:jc w:val="left"/>
        <w:rPr>
          <w:rFonts w:ascii="宋体" w:eastAsia="宋体" w:hAnsi="宋体" w:cs="Calibri" w:hint="eastAsia"/>
          <w:sz w:val="24"/>
          <w:szCs w:val="21"/>
        </w:rPr>
      </w:pPr>
      <w:r>
        <w:rPr>
          <w:rFonts w:ascii="宋体" w:eastAsia="宋体" w:hAnsi="宋体" w:cs="Calibri" w:hint="eastAsia"/>
          <w:sz w:val="24"/>
          <w:szCs w:val="21"/>
        </w:rPr>
        <w:t>注册地址：</w:t>
      </w:r>
      <w:r>
        <w:rPr>
          <w:rFonts w:ascii="宋体" w:eastAsia="宋体" w:hAnsi="宋体" w:cs="Calibri"/>
          <w:sz w:val="24"/>
          <w:szCs w:val="21"/>
        </w:rPr>
        <w:t>浙江省宁波市慈溪市横河镇石堰村</w:t>
      </w:r>
    </w:p>
    <w:p w14:paraId="657D124A" w14:textId="77777777" w:rsidR="006D324C" w:rsidRDefault="00FF2F67">
      <w:pPr>
        <w:spacing w:line="360" w:lineRule="auto"/>
        <w:ind w:firstLineChars="200" w:firstLine="480"/>
        <w:jc w:val="left"/>
        <w:rPr>
          <w:rFonts w:ascii="宋体" w:eastAsia="宋体" w:hAnsi="宋体" w:cs="Calibri" w:hint="eastAsia"/>
          <w:sz w:val="24"/>
          <w:szCs w:val="21"/>
        </w:rPr>
      </w:pPr>
      <w:r>
        <w:rPr>
          <w:rFonts w:ascii="宋体" w:eastAsia="宋体" w:hAnsi="宋体" w:cs="Calibri" w:hint="eastAsia"/>
          <w:sz w:val="24"/>
          <w:szCs w:val="21"/>
        </w:rPr>
        <w:t>法定代表人：</w:t>
      </w:r>
      <w:r>
        <w:rPr>
          <w:rFonts w:ascii="宋体" w:eastAsia="宋体" w:hAnsi="宋体" w:cs="Calibri"/>
          <w:sz w:val="24"/>
          <w:szCs w:val="21"/>
        </w:rPr>
        <w:t>杨海峰</w:t>
      </w:r>
    </w:p>
    <w:p w14:paraId="0A3398C6" w14:textId="77777777" w:rsidR="006D324C" w:rsidRDefault="00FF2F67">
      <w:pPr>
        <w:spacing w:line="360" w:lineRule="auto"/>
        <w:ind w:firstLineChars="200" w:firstLine="480"/>
        <w:jc w:val="left"/>
        <w:rPr>
          <w:rFonts w:ascii="宋体" w:eastAsia="宋体" w:hAnsi="宋体" w:cs="Calibri" w:hint="eastAsia"/>
          <w:sz w:val="24"/>
          <w:szCs w:val="21"/>
        </w:rPr>
      </w:pPr>
      <w:r>
        <w:rPr>
          <w:rFonts w:ascii="宋体" w:eastAsia="宋体" w:hAnsi="宋体" w:cs="Calibri" w:hint="eastAsia"/>
          <w:sz w:val="24"/>
          <w:szCs w:val="21"/>
        </w:rPr>
        <w:t>注册资本：</w:t>
      </w:r>
      <w:r>
        <w:rPr>
          <w:rFonts w:ascii="宋体" w:eastAsia="宋体" w:hAnsi="宋体" w:cs="Calibri" w:hint="eastAsia"/>
          <w:sz w:val="24"/>
          <w:szCs w:val="21"/>
        </w:rPr>
        <w:t>1,000</w:t>
      </w:r>
      <w:r>
        <w:rPr>
          <w:rFonts w:ascii="宋体" w:eastAsia="宋体" w:hAnsi="宋体" w:cs="Calibri" w:hint="eastAsia"/>
          <w:sz w:val="24"/>
          <w:szCs w:val="21"/>
        </w:rPr>
        <w:t>万元</w:t>
      </w:r>
    </w:p>
    <w:p w14:paraId="78788904" w14:textId="77777777" w:rsidR="006D324C" w:rsidRDefault="00FF2F67">
      <w:pPr>
        <w:spacing w:line="360" w:lineRule="auto"/>
        <w:ind w:firstLineChars="200" w:firstLine="480"/>
        <w:jc w:val="left"/>
        <w:rPr>
          <w:rFonts w:ascii="宋体" w:eastAsia="宋体" w:hAnsi="宋体" w:cs="Calibri" w:hint="eastAsia"/>
          <w:sz w:val="24"/>
          <w:szCs w:val="21"/>
        </w:rPr>
      </w:pPr>
      <w:r>
        <w:rPr>
          <w:rFonts w:ascii="宋体" w:eastAsia="宋体" w:hAnsi="宋体" w:cs="Calibri" w:hint="eastAsia"/>
          <w:sz w:val="24"/>
          <w:szCs w:val="21"/>
        </w:rPr>
        <w:t>社会信用代码：</w:t>
      </w:r>
      <w:r>
        <w:rPr>
          <w:rFonts w:ascii="宋体" w:eastAsia="宋体" w:hAnsi="宋体" w:cs="Calibri"/>
          <w:sz w:val="24"/>
          <w:szCs w:val="21"/>
        </w:rPr>
        <w:t>91330282MAKJ6EXH08</w:t>
      </w:r>
    </w:p>
    <w:p w14:paraId="432D5B49" w14:textId="77777777" w:rsidR="006D324C" w:rsidRDefault="00FF2F67">
      <w:pPr>
        <w:spacing w:line="360" w:lineRule="auto"/>
        <w:ind w:firstLineChars="200" w:firstLine="480"/>
        <w:jc w:val="left"/>
        <w:rPr>
          <w:rFonts w:ascii="宋体" w:eastAsia="宋体" w:hAnsi="宋体" w:cs="Calibri" w:hint="eastAsia"/>
          <w:sz w:val="24"/>
          <w:szCs w:val="21"/>
        </w:rPr>
      </w:pPr>
      <w:r>
        <w:rPr>
          <w:rFonts w:ascii="宋体" w:eastAsia="宋体" w:hAnsi="宋体" w:cs="Calibri" w:hint="eastAsia"/>
          <w:sz w:val="24"/>
          <w:szCs w:val="21"/>
        </w:rPr>
        <w:t>公司类型：有限责任公司</w:t>
      </w:r>
    </w:p>
    <w:p w14:paraId="3E13CAAC" w14:textId="77777777" w:rsidR="006D324C" w:rsidRDefault="00FF2F67">
      <w:pPr>
        <w:spacing w:line="360" w:lineRule="auto"/>
        <w:ind w:firstLineChars="200" w:firstLine="480"/>
        <w:jc w:val="left"/>
        <w:rPr>
          <w:rFonts w:ascii="宋体" w:eastAsia="宋体" w:hAnsi="宋体" w:cs="Calibri" w:hint="eastAsia"/>
          <w:sz w:val="24"/>
          <w:szCs w:val="21"/>
        </w:rPr>
      </w:pPr>
      <w:r>
        <w:rPr>
          <w:rFonts w:ascii="宋体" w:eastAsia="宋体" w:hAnsi="宋体" w:cs="Calibri" w:hint="eastAsia"/>
          <w:sz w:val="24"/>
          <w:szCs w:val="21"/>
        </w:rPr>
        <w:t>成立日期：</w:t>
      </w:r>
      <w:r>
        <w:rPr>
          <w:rFonts w:ascii="宋体" w:eastAsia="宋体" w:hAnsi="宋体" w:cs="Calibri" w:hint="eastAsia"/>
          <w:sz w:val="24"/>
          <w:szCs w:val="21"/>
        </w:rPr>
        <w:t>2026</w:t>
      </w:r>
      <w:r>
        <w:rPr>
          <w:rFonts w:ascii="宋体" w:eastAsia="宋体" w:hAnsi="宋体" w:cs="Calibri" w:hint="eastAsia"/>
          <w:sz w:val="24"/>
          <w:szCs w:val="21"/>
        </w:rPr>
        <w:t>年</w:t>
      </w:r>
      <w:r>
        <w:rPr>
          <w:rFonts w:ascii="宋体" w:eastAsia="宋体" w:hAnsi="宋体" w:cs="Calibri" w:hint="eastAsia"/>
          <w:sz w:val="24"/>
          <w:szCs w:val="21"/>
        </w:rPr>
        <w:t>7</w:t>
      </w:r>
      <w:r>
        <w:rPr>
          <w:rFonts w:ascii="宋体" w:eastAsia="宋体" w:hAnsi="宋体" w:cs="Calibri" w:hint="eastAsia"/>
          <w:sz w:val="24"/>
          <w:szCs w:val="21"/>
        </w:rPr>
        <w:t>月</w:t>
      </w:r>
      <w:r>
        <w:rPr>
          <w:rFonts w:ascii="宋体" w:eastAsia="宋体" w:hAnsi="宋体" w:cs="Calibri" w:hint="eastAsia"/>
          <w:sz w:val="24"/>
          <w:szCs w:val="21"/>
        </w:rPr>
        <w:t>14</w:t>
      </w:r>
      <w:r>
        <w:rPr>
          <w:rFonts w:ascii="宋体" w:eastAsia="宋体" w:hAnsi="宋体" w:cs="Calibri" w:hint="eastAsia"/>
          <w:sz w:val="24"/>
          <w:szCs w:val="21"/>
        </w:rPr>
        <w:t>日</w:t>
      </w:r>
    </w:p>
    <w:p w14:paraId="18530972" w14:textId="77777777" w:rsidR="006D324C" w:rsidRDefault="00FF2F67">
      <w:pPr>
        <w:spacing w:line="360" w:lineRule="auto"/>
        <w:ind w:firstLineChars="200" w:firstLine="480"/>
        <w:jc w:val="left"/>
        <w:rPr>
          <w:rFonts w:ascii="宋体" w:eastAsia="宋体" w:hAnsi="宋体" w:cs="Calibri" w:hint="eastAsia"/>
          <w:sz w:val="24"/>
          <w:szCs w:val="21"/>
        </w:rPr>
      </w:pPr>
      <w:r>
        <w:rPr>
          <w:rFonts w:ascii="宋体" w:eastAsia="宋体" w:hAnsi="宋体" w:cs="Calibri" w:hint="eastAsia"/>
          <w:sz w:val="24"/>
          <w:szCs w:val="21"/>
        </w:rPr>
        <w:t>业务范围：</w:t>
      </w:r>
      <w:r>
        <w:rPr>
          <w:rFonts w:ascii="宋体" w:eastAsia="宋体" w:hAnsi="宋体" w:cs="Calibri"/>
          <w:sz w:val="24"/>
          <w:szCs w:val="21"/>
        </w:rPr>
        <w:t>一般项目</w:t>
      </w:r>
      <w:r>
        <w:rPr>
          <w:rFonts w:ascii="宋体" w:eastAsia="宋体" w:hAnsi="宋体" w:cs="Calibri" w:hint="eastAsia"/>
          <w:sz w:val="24"/>
          <w:szCs w:val="21"/>
        </w:rPr>
        <w:t>：</w:t>
      </w:r>
      <w:r>
        <w:rPr>
          <w:rFonts w:ascii="宋体" w:eastAsia="宋体" w:hAnsi="宋体" w:cs="Calibri"/>
          <w:sz w:val="24"/>
          <w:szCs w:val="21"/>
        </w:rPr>
        <w:t>新能源原动设备制造；新兴能源技术研发；货物进出口；技术进出口；供应用仪器仪表制造；供应用仪器仪表销售；机械零件、零部件加工；机械零件、零部件销售；通用零部件制造；通用设备制造</w:t>
      </w:r>
      <w:r>
        <w:rPr>
          <w:rFonts w:ascii="宋体" w:eastAsia="宋体" w:hAnsi="宋体" w:cs="Calibri"/>
          <w:sz w:val="24"/>
          <w:szCs w:val="21"/>
        </w:rPr>
        <w:t>(</w:t>
      </w:r>
      <w:r>
        <w:rPr>
          <w:rFonts w:ascii="宋体" w:eastAsia="宋体" w:hAnsi="宋体" w:cs="Calibri"/>
          <w:sz w:val="24"/>
          <w:szCs w:val="21"/>
        </w:rPr>
        <w:t>不含特种设备制造</w:t>
      </w:r>
      <w:r>
        <w:rPr>
          <w:rFonts w:ascii="宋体" w:eastAsia="宋体" w:hAnsi="宋体" w:cs="Calibri"/>
          <w:sz w:val="24"/>
          <w:szCs w:val="21"/>
        </w:rPr>
        <w:t>)</w:t>
      </w:r>
      <w:r>
        <w:rPr>
          <w:rFonts w:ascii="宋体" w:eastAsia="宋体" w:hAnsi="宋体" w:cs="Calibri"/>
          <w:sz w:val="24"/>
          <w:szCs w:val="21"/>
        </w:rPr>
        <w:t>；电子元器件批发；电子元器件制造；电子元器件零售；阀门和旋塞研发；阀门和旋塞销售；普通阀门和旋塞制造</w:t>
      </w:r>
      <w:r>
        <w:rPr>
          <w:rFonts w:ascii="宋体" w:eastAsia="宋体" w:hAnsi="宋体" w:cs="Calibri"/>
          <w:sz w:val="24"/>
          <w:szCs w:val="21"/>
        </w:rPr>
        <w:t>(</w:t>
      </w:r>
      <w:r>
        <w:rPr>
          <w:rFonts w:ascii="宋体" w:eastAsia="宋体" w:hAnsi="宋体" w:cs="Calibri"/>
          <w:sz w:val="24"/>
          <w:szCs w:val="21"/>
        </w:rPr>
        <w:t>不含特种设备制造</w:t>
      </w:r>
      <w:r>
        <w:rPr>
          <w:rFonts w:ascii="宋体" w:eastAsia="宋体" w:hAnsi="宋体" w:cs="Calibri"/>
          <w:sz w:val="24"/>
          <w:szCs w:val="21"/>
        </w:rPr>
        <w:t>)</w:t>
      </w:r>
      <w:r>
        <w:rPr>
          <w:rFonts w:ascii="宋体" w:eastAsia="宋体" w:hAnsi="宋体" w:cs="Calibri"/>
          <w:sz w:val="24"/>
          <w:szCs w:val="21"/>
        </w:rPr>
        <w:t>；工业自</w:t>
      </w:r>
      <w:r>
        <w:rPr>
          <w:rFonts w:ascii="宋体" w:eastAsia="宋体" w:hAnsi="宋体" w:cs="Calibri"/>
          <w:sz w:val="24"/>
          <w:szCs w:val="21"/>
        </w:rPr>
        <w:lastRenderedPageBreak/>
        <w:t>动控制系统装置制造；工业自动控制系统装置销售；密封件制造；密封件销售；塑料制品制造；橡胶制品制造；橡胶制品销售；塑料制品销售；五金产品制造；五金产品批发；五金产品研发；五金产品零售；有色金属铸造；金属制品销售；金属制品研发；金属链条及其他金属制品制造；金属链条及其他金属制品销售；有色金属合金销售；有色金属合金制造；仪器仪表制造；电工仪器仪表制造；智能仪器仪表制造；仪器仪表修理；电工仪器仪表销售；智能仪器仪表销售；仪器仪表销售；电子元器件与机电组件设备制造；电子元器件与机电组件设备销售；电子专用设备制造；电子专用设备销售；技术服务、技术开发、技术咨询、技术交流、技术转让、技术推广；国内贸易代理；销售代理；网络技术服务；信息技术咨询服务；物联网技术研发；物联网技术服务；物联网应用服务；</w:t>
      </w:r>
      <w:r>
        <w:rPr>
          <w:rFonts w:ascii="宋体" w:eastAsia="宋体" w:hAnsi="宋体" w:cs="Calibri"/>
          <w:sz w:val="24"/>
          <w:szCs w:val="21"/>
        </w:rPr>
        <w:t>5G</w:t>
      </w:r>
      <w:r>
        <w:rPr>
          <w:rFonts w:ascii="宋体" w:eastAsia="宋体" w:hAnsi="宋体" w:cs="Calibri"/>
          <w:sz w:val="24"/>
          <w:szCs w:val="21"/>
        </w:rPr>
        <w:t>通信技术</w:t>
      </w:r>
      <w:r>
        <w:rPr>
          <w:rFonts w:ascii="宋体" w:eastAsia="宋体" w:hAnsi="宋体" w:cs="Calibri"/>
          <w:sz w:val="24"/>
          <w:szCs w:val="21"/>
        </w:rPr>
        <w:t>服务；软件开发；新材料技术研发；工业工程设计服务；物联网设备销售；电子产品销售；机械设备销售；塑料加工专用设备销售；塑料加工专用设备制造；电池销售；工程塑料及合成树脂销售；工程塑料及合成树脂制造；模具销售；模具制造；汽车零配件批发；汽车零配件零售</w:t>
      </w:r>
      <w:r>
        <w:rPr>
          <w:rFonts w:ascii="宋体" w:eastAsia="宋体" w:hAnsi="宋体" w:cs="Calibri"/>
          <w:sz w:val="24"/>
          <w:szCs w:val="21"/>
        </w:rPr>
        <w:t>(</w:t>
      </w:r>
      <w:r>
        <w:rPr>
          <w:rFonts w:ascii="宋体" w:eastAsia="宋体" w:hAnsi="宋体" w:cs="Calibri"/>
          <w:sz w:val="24"/>
          <w:szCs w:val="21"/>
        </w:rPr>
        <w:t>除依法须经批准的项目外</w:t>
      </w:r>
      <w:r>
        <w:rPr>
          <w:rFonts w:ascii="宋体" w:eastAsia="宋体" w:hAnsi="宋体" w:cs="Calibri"/>
          <w:sz w:val="24"/>
          <w:szCs w:val="21"/>
        </w:rPr>
        <w:t>,</w:t>
      </w:r>
      <w:r>
        <w:rPr>
          <w:rFonts w:ascii="宋体" w:eastAsia="宋体" w:hAnsi="宋体" w:cs="Calibri"/>
          <w:sz w:val="24"/>
          <w:szCs w:val="21"/>
        </w:rPr>
        <w:t>凭营业执照依法自主开展经营活动</w:t>
      </w:r>
      <w:r>
        <w:rPr>
          <w:rFonts w:ascii="宋体" w:eastAsia="宋体" w:hAnsi="宋体" w:cs="Calibri"/>
          <w:sz w:val="24"/>
          <w:szCs w:val="21"/>
        </w:rPr>
        <w:t>)</w:t>
      </w:r>
      <w:r>
        <w:rPr>
          <w:rFonts w:ascii="宋体" w:eastAsia="宋体" w:hAnsi="宋体" w:cs="Calibri" w:hint="eastAsia"/>
          <w:sz w:val="24"/>
          <w:szCs w:val="21"/>
        </w:rPr>
        <w:t>。</w:t>
      </w:r>
    </w:p>
    <w:p w14:paraId="449E0F8A" w14:textId="77777777" w:rsidR="006D324C" w:rsidRDefault="00FF2F67">
      <w:pPr>
        <w:spacing w:line="360" w:lineRule="auto"/>
        <w:ind w:firstLineChars="200" w:firstLine="480"/>
        <w:jc w:val="left"/>
        <w:rPr>
          <w:rFonts w:ascii="宋体" w:eastAsia="宋体" w:hAnsi="宋体" w:cs="Calibri" w:hint="eastAsia"/>
          <w:sz w:val="24"/>
          <w:szCs w:val="21"/>
        </w:rPr>
      </w:pPr>
      <w:r>
        <w:rPr>
          <w:rFonts w:ascii="宋体" w:eastAsia="宋体" w:hAnsi="宋体" w:cs="Calibri"/>
          <w:sz w:val="24"/>
          <w:szCs w:val="21"/>
        </w:rPr>
        <w:t>聚衡能源</w:t>
      </w:r>
      <w:r>
        <w:rPr>
          <w:rFonts w:ascii="宋体" w:eastAsia="宋体" w:hAnsi="宋体" w:cs="Calibri" w:hint="eastAsia"/>
          <w:sz w:val="24"/>
          <w:szCs w:val="21"/>
        </w:rPr>
        <w:t>主要股东情况：宁波聚丰仪表股份有限公司持股</w:t>
      </w:r>
      <w:r>
        <w:rPr>
          <w:rFonts w:ascii="宋体" w:eastAsia="宋体" w:hAnsi="宋体" w:cs="Calibri" w:hint="eastAsia"/>
          <w:sz w:val="24"/>
          <w:szCs w:val="21"/>
        </w:rPr>
        <w:t>51%</w:t>
      </w:r>
      <w:r>
        <w:rPr>
          <w:rFonts w:ascii="宋体" w:eastAsia="宋体" w:hAnsi="宋体" w:cs="Calibri" w:hint="eastAsia"/>
          <w:sz w:val="24"/>
          <w:szCs w:val="21"/>
        </w:rPr>
        <w:t>；公司全资控股子公司</w:t>
      </w:r>
      <w:r>
        <w:rPr>
          <w:rFonts w:ascii="宋体" w:eastAsia="宋体" w:hAnsi="宋体" w:cs="Calibri"/>
          <w:sz w:val="24"/>
          <w:szCs w:val="21"/>
        </w:rPr>
        <w:t>杭州星达能源设备有限公司</w:t>
      </w:r>
      <w:r>
        <w:rPr>
          <w:rFonts w:ascii="宋体" w:eastAsia="宋体" w:hAnsi="宋体" w:cs="Calibri" w:hint="eastAsia"/>
          <w:sz w:val="24"/>
          <w:szCs w:val="21"/>
        </w:rPr>
        <w:t>（以下简称“星达能源”）持股</w:t>
      </w:r>
      <w:r>
        <w:rPr>
          <w:rFonts w:ascii="宋体" w:eastAsia="宋体" w:hAnsi="宋体" w:cs="Calibri" w:hint="eastAsia"/>
          <w:sz w:val="24"/>
          <w:szCs w:val="21"/>
        </w:rPr>
        <w:t>49%</w:t>
      </w:r>
      <w:r>
        <w:rPr>
          <w:rFonts w:ascii="宋体" w:eastAsia="宋体" w:hAnsi="宋体" w:cs="Calibri" w:hint="eastAsia"/>
          <w:sz w:val="24"/>
          <w:szCs w:val="21"/>
        </w:rPr>
        <w:t>。</w:t>
      </w:r>
    </w:p>
    <w:p w14:paraId="7EC6F2A7" w14:textId="77777777" w:rsidR="006D324C" w:rsidRDefault="00FF2F67">
      <w:pPr>
        <w:spacing w:line="360" w:lineRule="auto"/>
        <w:ind w:firstLineChars="200" w:firstLine="482"/>
        <w:rPr>
          <w:rFonts w:ascii="宋体" w:eastAsia="宋体" w:hAnsi="宋体" w:cs="Calibri" w:hint="eastAsia"/>
          <w:sz w:val="24"/>
          <w:szCs w:val="21"/>
        </w:rPr>
      </w:pPr>
      <w:r>
        <w:rPr>
          <w:rFonts w:ascii="宋体" w:eastAsia="宋体" w:hAnsi="宋体" w:cs="Calibri" w:hint="eastAsia"/>
          <w:b/>
          <w:sz w:val="24"/>
          <w:szCs w:val="21"/>
        </w:rPr>
        <w:t>（二）与公司的关联关系</w:t>
      </w:r>
    </w:p>
    <w:p w14:paraId="3157E27C" w14:textId="77777777" w:rsidR="006D324C" w:rsidRDefault="00FF2F67">
      <w:pPr>
        <w:spacing w:line="360" w:lineRule="auto"/>
        <w:ind w:firstLineChars="200" w:firstLine="480"/>
        <w:rPr>
          <w:rFonts w:ascii="宋体" w:eastAsia="宋体" w:hAnsi="宋体" w:cs="Calibri" w:hint="eastAsia"/>
          <w:sz w:val="24"/>
          <w:szCs w:val="21"/>
        </w:rPr>
      </w:pPr>
      <w:r>
        <w:rPr>
          <w:rFonts w:ascii="宋体" w:eastAsia="宋体" w:hAnsi="宋体" w:cs="Calibri"/>
          <w:sz w:val="24"/>
          <w:szCs w:val="21"/>
        </w:rPr>
        <w:t>公司</w:t>
      </w:r>
      <w:r>
        <w:rPr>
          <w:rFonts w:ascii="宋体" w:eastAsia="宋体" w:hAnsi="宋体" w:cs="Calibri" w:hint="eastAsia"/>
          <w:sz w:val="24"/>
          <w:szCs w:val="21"/>
        </w:rPr>
        <w:t>张妍女士（十二个月内曾为公司董事）</w:t>
      </w:r>
      <w:r>
        <w:rPr>
          <w:rFonts w:ascii="宋体" w:eastAsia="宋体" w:hAnsi="宋体" w:cs="Calibri"/>
          <w:sz w:val="24"/>
          <w:szCs w:val="21"/>
        </w:rPr>
        <w:t>在聚衡能源担任董事职务，根据《深圳证券交易所股票上市规则》的相关规定，聚衡能源为公司的关联方。</w:t>
      </w:r>
      <w:r>
        <w:rPr>
          <w:rFonts w:ascii="宋体" w:eastAsia="宋体" w:hAnsi="宋体" w:cs="Calibri" w:hint="eastAsia"/>
          <w:sz w:val="24"/>
          <w:szCs w:val="21"/>
        </w:rPr>
        <w:t>且公司全资子公司星达能源持有</w:t>
      </w:r>
      <w:r>
        <w:rPr>
          <w:rFonts w:ascii="宋体" w:eastAsia="宋体" w:hAnsi="宋体" w:cs="Calibri"/>
          <w:sz w:val="24"/>
          <w:szCs w:val="21"/>
        </w:rPr>
        <w:t>聚衡能源</w:t>
      </w:r>
      <w:r>
        <w:rPr>
          <w:rFonts w:ascii="宋体" w:eastAsia="宋体" w:hAnsi="宋体" w:cs="Calibri" w:hint="eastAsia"/>
          <w:sz w:val="24"/>
          <w:szCs w:val="21"/>
        </w:rPr>
        <w:t>49%</w:t>
      </w:r>
      <w:r>
        <w:rPr>
          <w:rFonts w:ascii="宋体" w:eastAsia="宋体" w:hAnsi="宋体" w:cs="Calibri" w:hint="eastAsia"/>
          <w:sz w:val="24"/>
          <w:szCs w:val="21"/>
        </w:rPr>
        <w:t>股权，</w:t>
      </w:r>
      <w:r>
        <w:rPr>
          <w:rFonts w:ascii="宋体" w:eastAsia="宋体" w:hAnsi="宋体" w:cs="Calibri"/>
          <w:sz w:val="24"/>
          <w:szCs w:val="21"/>
        </w:rPr>
        <w:t>属于《企业会计准则》认定的关联情形。</w:t>
      </w:r>
    </w:p>
    <w:p w14:paraId="13988598" w14:textId="77777777" w:rsidR="006D324C" w:rsidRDefault="00FF2F67">
      <w:pPr>
        <w:spacing w:line="360" w:lineRule="auto"/>
        <w:ind w:firstLineChars="200" w:firstLine="482"/>
        <w:jc w:val="left"/>
        <w:rPr>
          <w:rFonts w:ascii="宋体" w:eastAsia="宋体" w:hAnsi="宋体" w:cs="Calibri" w:hint="eastAsia"/>
          <w:b/>
          <w:sz w:val="24"/>
          <w:szCs w:val="21"/>
        </w:rPr>
      </w:pPr>
      <w:r>
        <w:rPr>
          <w:rFonts w:ascii="宋体" w:eastAsia="宋体" w:hAnsi="宋体" w:cs="Calibri" w:hint="eastAsia"/>
          <w:b/>
          <w:sz w:val="24"/>
          <w:szCs w:val="21"/>
        </w:rPr>
        <w:t>（三）履约能力分析</w:t>
      </w:r>
    </w:p>
    <w:p w14:paraId="5D49C3D3" w14:textId="77777777" w:rsidR="006D324C" w:rsidRDefault="00FF2F67">
      <w:pPr>
        <w:spacing w:line="360" w:lineRule="auto"/>
        <w:ind w:firstLineChars="200" w:firstLine="480"/>
        <w:jc w:val="left"/>
        <w:rPr>
          <w:rFonts w:ascii="宋体" w:eastAsia="宋体" w:hAnsi="宋体" w:cs="Calibri" w:hint="eastAsia"/>
          <w:sz w:val="24"/>
          <w:szCs w:val="21"/>
        </w:rPr>
      </w:pPr>
      <w:r>
        <w:rPr>
          <w:rFonts w:ascii="宋体" w:eastAsia="宋体" w:hAnsi="宋体" w:cs="Calibri" w:hint="eastAsia"/>
          <w:sz w:val="24"/>
          <w:szCs w:val="21"/>
        </w:rPr>
        <w:t>上述关联交易系公司正常业务所需，关联方依法存续，经营情况正常。经查询，其不属于失信被执行人。</w:t>
      </w:r>
      <w:r>
        <w:rPr>
          <w:rFonts w:ascii="宋体" w:eastAsia="宋体" w:hAnsi="宋体" w:cs="Calibri"/>
          <w:sz w:val="24"/>
          <w:szCs w:val="21"/>
        </w:rPr>
        <w:t>截至本公告披露日</w:t>
      </w:r>
      <w:r>
        <w:rPr>
          <w:rFonts w:ascii="宋体" w:eastAsia="宋体" w:hAnsi="宋体" w:cs="Calibri" w:hint="eastAsia"/>
          <w:sz w:val="24"/>
          <w:szCs w:val="21"/>
        </w:rPr>
        <w:t>公司与聚衡能源</w:t>
      </w:r>
      <w:r>
        <w:rPr>
          <w:rFonts w:ascii="宋体" w:eastAsia="宋体" w:hAnsi="宋体" w:cs="Calibri"/>
          <w:sz w:val="24"/>
          <w:szCs w:val="21"/>
        </w:rPr>
        <w:t>尚未发生交易</w:t>
      </w:r>
      <w:r>
        <w:rPr>
          <w:rFonts w:ascii="宋体" w:eastAsia="宋体" w:hAnsi="宋体" w:cs="Calibri" w:hint="eastAsia"/>
          <w:sz w:val="24"/>
          <w:szCs w:val="21"/>
        </w:rPr>
        <w:t>，</w:t>
      </w:r>
      <w:r>
        <w:rPr>
          <w:rFonts w:ascii="宋体" w:eastAsia="宋体" w:hAnsi="宋体" w:cs="Calibri"/>
          <w:sz w:val="24"/>
          <w:szCs w:val="21"/>
        </w:rPr>
        <w:t>公司认为其具备相应的履约能力</w:t>
      </w:r>
      <w:r>
        <w:rPr>
          <w:rFonts w:ascii="宋体" w:eastAsia="宋体" w:hAnsi="宋体" w:cs="Calibri" w:hint="eastAsia"/>
          <w:sz w:val="24"/>
          <w:szCs w:val="21"/>
        </w:rPr>
        <w:t>。</w:t>
      </w:r>
    </w:p>
    <w:p w14:paraId="71EA6AEA" w14:textId="77777777" w:rsidR="006D324C" w:rsidRDefault="00FF2F67">
      <w:pPr>
        <w:spacing w:line="360" w:lineRule="auto"/>
        <w:ind w:firstLineChars="200" w:firstLine="482"/>
        <w:jc w:val="left"/>
        <w:rPr>
          <w:rFonts w:ascii="宋体" w:hAnsi="宋体" w:hint="eastAsia"/>
          <w:b/>
          <w:sz w:val="24"/>
        </w:rPr>
      </w:pPr>
      <w:r>
        <w:rPr>
          <w:rFonts w:ascii="宋体" w:hAnsi="宋体" w:hint="eastAsia"/>
          <w:b/>
          <w:sz w:val="24"/>
        </w:rPr>
        <w:t>三</w:t>
      </w:r>
      <w:r>
        <w:rPr>
          <w:rFonts w:ascii="宋体" w:hAnsi="宋体"/>
          <w:b/>
          <w:sz w:val="24"/>
        </w:rPr>
        <w:t>、</w:t>
      </w:r>
      <w:r>
        <w:rPr>
          <w:rFonts w:ascii="宋体" w:hAnsi="宋体" w:hint="eastAsia"/>
          <w:b/>
          <w:sz w:val="24"/>
        </w:rPr>
        <w:t>关</w:t>
      </w:r>
      <w:r>
        <w:rPr>
          <w:rFonts w:ascii="宋体" w:hAnsi="宋体"/>
          <w:b/>
          <w:sz w:val="24"/>
        </w:rPr>
        <w:t>联</w:t>
      </w:r>
      <w:r>
        <w:rPr>
          <w:rFonts w:ascii="宋体" w:hAnsi="宋体" w:hint="eastAsia"/>
          <w:b/>
          <w:sz w:val="24"/>
        </w:rPr>
        <w:t>交易主要</w:t>
      </w:r>
      <w:r>
        <w:rPr>
          <w:rFonts w:ascii="宋体" w:hAnsi="宋体"/>
          <w:b/>
          <w:sz w:val="24"/>
        </w:rPr>
        <w:t>内容</w:t>
      </w:r>
    </w:p>
    <w:p w14:paraId="4914771D" w14:textId="77777777" w:rsidR="006D324C" w:rsidRDefault="00FF2F67">
      <w:pPr>
        <w:pStyle w:val="ad"/>
        <w:adjustRightInd/>
        <w:snapToGrid/>
        <w:spacing w:beforeLines="0" w:afterLines="0" w:after="0"/>
        <w:ind w:leftChars="0" w:left="51" w:rightChars="0" w:right="0" w:firstLine="482"/>
        <w:rPr>
          <w:rFonts w:hint="eastAsia"/>
          <w:bCs/>
          <w:szCs w:val="24"/>
        </w:rPr>
      </w:pPr>
      <w:r>
        <w:rPr>
          <w:bCs/>
          <w:szCs w:val="24"/>
        </w:rPr>
        <w:t>（一）关联交易定价政策和依据</w:t>
      </w:r>
    </w:p>
    <w:p w14:paraId="312A60CA" w14:textId="77777777" w:rsidR="006D324C" w:rsidRDefault="00FF2F67">
      <w:pPr>
        <w:pStyle w:val="ad"/>
        <w:spacing w:beforeLines="0" w:afterLines="0" w:after="0"/>
        <w:ind w:left="105" w:right="105" w:firstLine="480"/>
        <w:rPr>
          <w:rFonts w:hint="eastAsia"/>
          <w:b w:val="0"/>
          <w:szCs w:val="24"/>
        </w:rPr>
      </w:pPr>
      <w:r>
        <w:rPr>
          <w:b w:val="0"/>
          <w:szCs w:val="24"/>
        </w:rPr>
        <w:lastRenderedPageBreak/>
        <w:t>为满足日常经营及业务发展需求，公司及公司全资子公司拟</w:t>
      </w:r>
      <w:r>
        <w:rPr>
          <w:rFonts w:hint="eastAsia"/>
          <w:b w:val="0"/>
          <w:szCs w:val="24"/>
        </w:rPr>
        <w:t>向</w:t>
      </w:r>
      <w:r>
        <w:rPr>
          <w:b w:val="0"/>
          <w:szCs w:val="24"/>
        </w:rPr>
        <w:t>聚衡能源</w:t>
      </w:r>
      <w:r>
        <w:rPr>
          <w:rFonts w:hint="eastAsia"/>
          <w:b w:val="0"/>
          <w:szCs w:val="24"/>
        </w:rPr>
        <w:t>采购</w:t>
      </w:r>
      <w:r>
        <w:rPr>
          <w:b w:val="0"/>
          <w:szCs w:val="24"/>
        </w:rPr>
        <w:t>塑料部件等产品及相关服务，业务规模合计不超过</w:t>
      </w:r>
      <w:r>
        <w:rPr>
          <w:rFonts w:hint="eastAsia"/>
          <w:b w:val="0"/>
          <w:szCs w:val="24"/>
        </w:rPr>
        <w:t>1000</w:t>
      </w:r>
      <w:r>
        <w:rPr>
          <w:rFonts w:hint="eastAsia"/>
          <w:b w:val="0"/>
          <w:szCs w:val="24"/>
        </w:rPr>
        <w:t>万</w:t>
      </w:r>
      <w:r>
        <w:rPr>
          <w:b w:val="0"/>
          <w:szCs w:val="24"/>
        </w:rPr>
        <w:t>元。</w:t>
      </w:r>
      <w:r>
        <w:rPr>
          <w:rFonts w:hint="eastAsia"/>
          <w:b w:val="0"/>
          <w:szCs w:val="24"/>
        </w:rPr>
        <w:t>本次关联交易价格定价公允合理，不存在损害上市公司利益的情况。</w:t>
      </w:r>
    </w:p>
    <w:p w14:paraId="41CFE346" w14:textId="77777777" w:rsidR="006D324C" w:rsidRDefault="00FF2F67">
      <w:pPr>
        <w:pStyle w:val="ad"/>
        <w:adjustRightInd/>
        <w:snapToGrid/>
        <w:spacing w:beforeLines="0" w:afterLines="0" w:after="0"/>
        <w:ind w:leftChars="0" w:left="51" w:rightChars="0" w:right="0" w:firstLine="482"/>
        <w:rPr>
          <w:rFonts w:hint="eastAsia"/>
          <w:bCs/>
          <w:szCs w:val="24"/>
        </w:rPr>
      </w:pPr>
      <w:r>
        <w:rPr>
          <w:rFonts w:hint="eastAsia"/>
          <w:bCs/>
          <w:szCs w:val="24"/>
        </w:rPr>
        <w:t>（二）关联交易协议签署情况</w:t>
      </w:r>
    </w:p>
    <w:p w14:paraId="5F4ECF9E" w14:textId="77777777" w:rsidR="006D324C" w:rsidRDefault="00FF2F67">
      <w:pPr>
        <w:spacing w:line="360" w:lineRule="auto"/>
        <w:ind w:firstLineChars="200" w:firstLine="480"/>
        <w:jc w:val="left"/>
        <w:rPr>
          <w:rFonts w:ascii="宋体" w:eastAsia="宋体" w:hAnsi="宋体" w:cs="Times New Roman" w:hint="eastAsia"/>
          <w:kern w:val="0"/>
          <w:sz w:val="24"/>
          <w:szCs w:val="24"/>
        </w:rPr>
      </w:pPr>
      <w:r>
        <w:rPr>
          <w:rFonts w:ascii="宋体" w:eastAsia="宋体" w:hAnsi="宋体" w:cs="Times New Roman" w:hint="eastAsia"/>
          <w:kern w:val="0"/>
          <w:sz w:val="24"/>
          <w:szCs w:val="24"/>
        </w:rPr>
        <w:t>公司尚未就与上述关联人之间的交易签署相关协议，后续将根据业务需求，在上述审批的额度范围和期限内根据实际情况签署相关的合同文件。</w:t>
      </w:r>
    </w:p>
    <w:p w14:paraId="6D7FBC68" w14:textId="77777777" w:rsidR="006D324C" w:rsidRDefault="00FF2F67">
      <w:pPr>
        <w:spacing w:line="360" w:lineRule="auto"/>
        <w:ind w:firstLineChars="200" w:firstLine="482"/>
        <w:jc w:val="left"/>
        <w:rPr>
          <w:rFonts w:ascii="宋体" w:eastAsia="宋体" w:hAnsi="宋体" w:cs="Times New Roman" w:hint="eastAsia"/>
          <w:kern w:val="0"/>
          <w:sz w:val="24"/>
          <w:szCs w:val="24"/>
        </w:rPr>
      </w:pPr>
      <w:r>
        <w:rPr>
          <w:rFonts w:ascii="宋体" w:hAnsi="宋体" w:hint="eastAsia"/>
          <w:b/>
          <w:sz w:val="24"/>
        </w:rPr>
        <w:t>四</w:t>
      </w:r>
      <w:r>
        <w:rPr>
          <w:rFonts w:ascii="宋体" w:hAnsi="宋体"/>
          <w:b/>
          <w:sz w:val="24"/>
        </w:rPr>
        <w:t>、关联交易的目的及对公司的影响</w:t>
      </w:r>
    </w:p>
    <w:p w14:paraId="586BE415" w14:textId="77777777" w:rsidR="006D324C" w:rsidRDefault="00FF2F67">
      <w:pPr>
        <w:spacing w:line="360" w:lineRule="auto"/>
        <w:ind w:firstLineChars="200" w:firstLine="480"/>
        <w:jc w:val="left"/>
        <w:rPr>
          <w:rFonts w:ascii="宋体" w:hAnsi="宋体" w:hint="eastAsia"/>
          <w:sz w:val="24"/>
          <w:szCs w:val="24"/>
        </w:rPr>
      </w:pPr>
      <w:r>
        <w:rPr>
          <w:rFonts w:ascii="宋体" w:hAnsi="宋体"/>
          <w:sz w:val="24"/>
          <w:szCs w:val="24"/>
        </w:rPr>
        <w:t>本次关联交易属日常经营所需，旨在借助关联方资源优势，促进业务发展。交易定价公允，遵循公平公开原则，不存在损害公司及中小股东利益的情形，亦不影响公司独立性，不构成对关联方的依赖。</w:t>
      </w:r>
    </w:p>
    <w:p w14:paraId="3E19CEAC" w14:textId="77777777" w:rsidR="006D324C" w:rsidRDefault="00FF2F67">
      <w:pPr>
        <w:spacing w:line="360" w:lineRule="auto"/>
        <w:ind w:firstLineChars="200" w:firstLine="482"/>
        <w:jc w:val="left"/>
        <w:rPr>
          <w:rFonts w:ascii="宋体" w:eastAsia="宋体" w:hAnsi="宋体" w:hint="eastAsia"/>
          <w:b/>
          <w:sz w:val="24"/>
        </w:rPr>
      </w:pPr>
      <w:r>
        <w:rPr>
          <w:rFonts w:ascii="宋体" w:eastAsia="宋体" w:hAnsi="宋体" w:hint="eastAsia"/>
          <w:b/>
          <w:sz w:val="24"/>
        </w:rPr>
        <w:t>五</w:t>
      </w:r>
      <w:r>
        <w:rPr>
          <w:rFonts w:ascii="宋体" w:eastAsia="宋体" w:hAnsi="宋体"/>
          <w:b/>
          <w:sz w:val="24"/>
        </w:rPr>
        <w:t>、</w:t>
      </w:r>
      <w:r>
        <w:rPr>
          <w:rFonts w:ascii="宋体" w:eastAsia="宋体" w:hAnsi="宋体" w:hint="eastAsia"/>
          <w:b/>
          <w:sz w:val="24"/>
        </w:rPr>
        <w:t>独立董事专门会议审议情况</w:t>
      </w:r>
    </w:p>
    <w:p w14:paraId="7F1A7C8A" w14:textId="77777777" w:rsidR="006D324C" w:rsidRDefault="00FF2F67">
      <w:pPr>
        <w:pStyle w:val="ad"/>
        <w:spacing w:beforeLines="0" w:afterLines="0" w:after="0"/>
        <w:ind w:left="105" w:right="105" w:firstLine="480"/>
        <w:rPr>
          <w:rFonts w:cstheme="minorBidi" w:hint="eastAsia"/>
          <w:b w:val="0"/>
          <w:kern w:val="2"/>
        </w:rPr>
      </w:pPr>
      <w:r>
        <w:rPr>
          <w:rFonts w:cstheme="minorBidi" w:hint="eastAsia"/>
          <w:b w:val="0"/>
          <w:kern w:val="2"/>
        </w:rPr>
        <w:t>公司独立董事于</w:t>
      </w:r>
      <w:r>
        <w:rPr>
          <w:rFonts w:cstheme="minorBidi" w:hint="eastAsia"/>
          <w:b w:val="0"/>
          <w:kern w:val="2"/>
        </w:rPr>
        <w:t>2026</w:t>
      </w:r>
      <w:r>
        <w:rPr>
          <w:rFonts w:cstheme="minorBidi" w:hint="eastAsia"/>
          <w:b w:val="0"/>
          <w:kern w:val="2"/>
        </w:rPr>
        <w:t>年</w:t>
      </w:r>
      <w:r>
        <w:rPr>
          <w:rFonts w:cstheme="minorBidi" w:hint="eastAsia"/>
          <w:b w:val="0"/>
          <w:kern w:val="2"/>
        </w:rPr>
        <w:t>8</w:t>
      </w:r>
      <w:r>
        <w:rPr>
          <w:rFonts w:cstheme="minorBidi" w:hint="eastAsia"/>
          <w:b w:val="0"/>
          <w:kern w:val="2"/>
        </w:rPr>
        <w:t>月</w:t>
      </w:r>
      <w:r>
        <w:rPr>
          <w:rFonts w:cstheme="minorBidi" w:hint="eastAsia"/>
          <w:b w:val="0"/>
          <w:kern w:val="2"/>
        </w:rPr>
        <w:t>21</w:t>
      </w:r>
      <w:r>
        <w:rPr>
          <w:rFonts w:cstheme="minorBidi" w:hint="eastAsia"/>
          <w:b w:val="0"/>
          <w:kern w:val="2"/>
        </w:rPr>
        <w:t>日召开了</w:t>
      </w:r>
      <w:r>
        <w:rPr>
          <w:rFonts w:hint="eastAsia"/>
          <w:b w:val="0"/>
          <w:bCs/>
        </w:rPr>
        <w:t>第六届董事会独立董事专门会议</w:t>
      </w:r>
      <w:r>
        <w:rPr>
          <w:rFonts w:hint="eastAsia"/>
          <w:b w:val="0"/>
          <w:bCs/>
        </w:rPr>
        <w:t>2026</w:t>
      </w:r>
      <w:r>
        <w:rPr>
          <w:rFonts w:hint="eastAsia"/>
          <w:b w:val="0"/>
          <w:bCs/>
        </w:rPr>
        <w:t>年第三次会议</w:t>
      </w:r>
      <w:r>
        <w:rPr>
          <w:rFonts w:cstheme="minorBidi" w:hint="eastAsia"/>
          <w:b w:val="0"/>
          <w:kern w:val="2"/>
        </w:rPr>
        <w:t>，一致同意</w:t>
      </w:r>
      <w:r>
        <w:rPr>
          <w:rFonts w:cstheme="minorBidi"/>
          <w:b w:val="0"/>
          <w:kern w:val="2"/>
        </w:rPr>
        <w:t>《关于新增</w:t>
      </w:r>
      <w:r>
        <w:rPr>
          <w:rFonts w:cstheme="minorBidi"/>
          <w:b w:val="0"/>
          <w:kern w:val="2"/>
        </w:rPr>
        <w:t>2026</w:t>
      </w:r>
      <w:r>
        <w:rPr>
          <w:rFonts w:cstheme="minorBidi"/>
          <w:b w:val="0"/>
          <w:kern w:val="2"/>
        </w:rPr>
        <w:t>年度日常关联交易预计</w:t>
      </w:r>
      <w:r>
        <w:rPr>
          <w:rFonts w:cstheme="minorBidi" w:hint="eastAsia"/>
          <w:b w:val="0"/>
          <w:kern w:val="2"/>
        </w:rPr>
        <w:t>金额</w:t>
      </w:r>
      <w:r>
        <w:rPr>
          <w:rFonts w:cstheme="minorBidi"/>
          <w:b w:val="0"/>
          <w:kern w:val="2"/>
        </w:rPr>
        <w:t>的议案》</w:t>
      </w:r>
      <w:r>
        <w:rPr>
          <w:rFonts w:cstheme="minorBidi" w:hint="eastAsia"/>
          <w:b w:val="0"/>
          <w:kern w:val="2"/>
        </w:rPr>
        <w:t>提交公司第六届董事会第八次会议审议，并发表如下审查意见：</w:t>
      </w:r>
    </w:p>
    <w:p w14:paraId="3628B517" w14:textId="77777777" w:rsidR="006D324C" w:rsidRDefault="00FF2F67">
      <w:pPr>
        <w:pStyle w:val="ad"/>
        <w:spacing w:beforeLines="0" w:afterLines="0" w:after="0"/>
        <w:ind w:left="105" w:right="105" w:firstLine="480"/>
        <w:rPr>
          <w:rFonts w:cstheme="minorBidi" w:hint="eastAsia"/>
          <w:b w:val="0"/>
          <w:kern w:val="2"/>
        </w:rPr>
      </w:pPr>
      <w:r>
        <w:rPr>
          <w:rFonts w:cstheme="minorBidi"/>
          <w:b w:val="0"/>
          <w:kern w:val="2"/>
        </w:rPr>
        <w:t>我们认为，公司及控股子公司预计新增</w:t>
      </w:r>
      <w:r>
        <w:rPr>
          <w:rFonts w:cstheme="minorBidi"/>
          <w:b w:val="0"/>
          <w:kern w:val="2"/>
        </w:rPr>
        <w:t>2026</w:t>
      </w:r>
      <w:r>
        <w:rPr>
          <w:rFonts w:cstheme="minorBidi"/>
          <w:b w:val="0"/>
          <w:kern w:val="2"/>
        </w:rPr>
        <w:t>年度与关联人发生的日常关联交易均为公司日常经营活动所需，符合《公司法》等有关法律法规和《公司章程》等公司内部规章制度的规定。公司</w:t>
      </w:r>
      <w:r>
        <w:rPr>
          <w:rFonts w:cstheme="minorBidi" w:hint="eastAsia"/>
          <w:b w:val="0"/>
          <w:kern w:val="2"/>
        </w:rPr>
        <w:t>按内部相关制度</w:t>
      </w:r>
      <w:r>
        <w:rPr>
          <w:rFonts w:cstheme="minorBidi"/>
          <w:b w:val="0"/>
          <w:kern w:val="2"/>
        </w:rPr>
        <w:t>在</w:t>
      </w:r>
      <w:r>
        <w:rPr>
          <w:rFonts w:cstheme="minorBidi"/>
          <w:b w:val="0"/>
          <w:kern w:val="2"/>
        </w:rPr>
        <w:t>对供应商进行资格审查</w:t>
      </w:r>
      <w:r>
        <w:rPr>
          <w:rFonts w:cstheme="minorBidi" w:hint="eastAsia"/>
          <w:b w:val="0"/>
          <w:kern w:val="2"/>
        </w:rPr>
        <w:t>并在</w:t>
      </w:r>
      <w:r>
        <w:rPr>
          <w:rFonts w:cstheme="minorBidi"/>
          <w:b w:val="0"/>
          <w:kern w:val="2"/>
        </w:rPr>
        <w:t>交易执行中</w:t>
      </w:r>
      <w:r>
        <w:rPr>
          <w:rFonts w:cstheme="minorBidi" w:hint="eastAsia"/>
          <w:b w:val="0"/>
          <w:kern w:val="2"/>
        </w:rPr>
        <w:t>保证</w:t>
      </w:r>
      <w:r>
        <w:rPr>
          <w:rFonts w:cstheme="minorBidi"/>
          <w:b w:val="0"/>
          <w:kern w:val="2"/>
        </w:rPr>
        <w:t>交易价格的公允性</w:t>
      </w:r>
      <w:r>
        <w:rPr>
          <w:rFonts w:cstheme="minorBidi"/>
          <w:b w:val="0"/>
          <w:kern w:val="2"/>
        </w:rPr>
        <w:t>。</w:t>
      </w:r>
      <w:r>
        <w:rPr>
          <w:rFonts w:cstheme="minorBidi"/>
          <w:b w:val="0"/>
          <w:kern w:val="2"/>
        </w:rPr>
        <w:t>在此前提下，我们认为该等关联交易遵循了公平、公正、公开原则，不存在损害公司及中小股东利益的情况，不会对公司独立性及规范运作产生不利影响，也不会对相关关联方形成依赖。我们同意本次新增日常关联交易预计事项，并同意将该议案提交公司第六届董事会第八次会议审议；董事会审议通过后提交股东会审议。</w:t>
      </w:r>
    </w:p>
    <w:p w14:paraId="52B8100A" w14:textId="77777777" w:rsidR="006D324C" w:rsidRDefault="00FF2F67">
      <w:pPr>
        <w:spacing w:line="360" w:lineRule="auto"/>
        <w:ind w:firstLineChars="200" w:firstLine="482"/>
        <w:jc w:val="left"/>
        <w:rPr>
          <w:rFonts w:ascii="宋体" w:eastAsia="宋体" w:hAnsi="宋体" w:hint="eastAsia"/>
          <w:b/>
          <w:sz w:val="24"/>
        </w:rPr>
      </w:pPr>
      <w:r>
        <w:rPr>
          <w:rFonts w:ascii="宋体" w:eastAsia="宋体" w:hAnsi="宋体" w:hint="eastAsia"/>
          <w:b/>
          <w:sz w:val="24"/>
        </w:rPr>
        <w:t>六、审计委员会审议情况</w:t>
      </w:r>
    </w:p>
    <w:p w14:paraId="7A4C43EB" w14:textId="77777777" w:rsidR="006D324C" w:rsidRDefault="00FF2F67">
      <w:pPr>
        <w:pStyle w:val="ad"/>
        <w:spacing w:beforeLines="0" w:afterLines="0" w:after="0"/>
        <w:ind w:left="105" w:right="105" w:firstLine="480"/>
        <w:rPr>
          <w:rFonts w:cstheme="minorBidi" w:hint="eastAsia"/>
          <w:b w:val="0"/>
          <w:kern w:val="2"/>
        </w:rPr>
      </w:pPr>
      <w:r>
        <w:rPr>
          <w:rFonts w:cstheme="minorBidi"/>
          <w:b w:val="0"/>
          <w:kern w:val="2"/>
        </w:rPr>
        <w:t>公司于</w:t>
      </w:r>
      <w:r>
        <w:rPr>
          <w:rFonts w:cstheme="minorBidi"/>
          <w:b w:val="0"/>
          <w:kern w:val="2"/>
        </w:rPr>
        <w:t>2026</w:t>
      </w:r>
      <w:r>
        <w:rPr>
          <w:rFonts w:cstheme="minorBidi"/>
          <w:b w:val="0"/>
          <w:kern w:val="2"/>
        </w:rPr>
        <w:t>年</w:t>
      </w:r>
      <w:r>
        <w:rPr>
          <w:rFonts w:cstheme="minorBidi"/>
          <w:b w:val="0"/>
          <w:kern w:val="2"/>
        </w:rPr>
        <w:t>8</w:t>
      </w:r>
      <w:r>
        <w:rPr>
          <w:rFonts w:cstheme="minorBidi"/>
          <w:b w:val="0"/>
          <w:kern w:val="2"/>
        </w:rPr>
        <w:t>月</w:t>
      </w:r>
      <w:r>
        <w:rPr>
          <w:rFonts w:cstheme="minorBidi"/>
          <w:b w:val="0"/>
          <w:kern w:val="2"/>
        </w:rPr>
        <w:t>2</w:t>
      </w:r>
      <w:r>
        <w:rPr>
          <w:rFonts w:cstheme="minorBidi" w:hint="eastAsia"/>
          <w:b w:val="0"/>
          <w:kern w:val="2"/>
        </w:rPr>
        <w:t>1</w:t>
      </w:r>
      <w:r>
        <w:rPr>
          <w:rFonts w:cstheme="minorBidi"/>
          <w:b w:val="0"/>
          <w:kern w:val="2"/>
        </w:rPr>
        <w:t>日召开了第六届董事会审计委员会</w:t>
      </w:r>
      <w:r>
        <w:rPr>
          <w:rFonts w:cstheme="minorBidi"/>
          <w:b w:val="0"/>
          <w:kern w:val="2"/>
        </w:rPr>
        <w:t>2026</w:t>
      </w:r>
      <w:r>
        <w:rPr>
          <w:rFonts w:cstheme="minorBidi"/>
          <w:b w:val="0"/>
          <w:kern w:val="2"/>
        </w:rPr>
        <w:t>年第三次会议。该事项已履行了相关决策程序，表决程序符合相关法律、法规及《公司章程》等规定。上述关联交易系因生产经营需要而发生，关联交易应遵循公允、合理的市场定价原则。公司在后续交易实际执行过程中应严格控制交易价格的公允性，并对供应商的资格进行认真审查。在此前提下，该关联交易不存在损害公司和中小股东利益的情形。</w:t>
      </w:r>
    </w:p>
    <w:p w14:paraId="5AD68AFA" w14:textId="77777777" w:rsidR="006D324C" w:rsidRDefault="00FF2F67">
      <w:pPr>
        <w:spacing w:line="360" w:lineRule="auto"/>
        <w:ind w:firstLineChars="200" w:firstLine="482"/>
        <w:jc w:val="left"/>
        <w:rPr>
          <w:rFonts w:ascii="宋体" w:eastAsia="宋体" w:hAnsi="宋体" w:hint="eastAsia"/>
          <w:b/>
          <w:sz w:val="24"/>
        </w:rPr>
      </w:pPr>
      <w:r>
        <w:rPr>
          <w:rFonts w:ascii="宋体" w:eastAsia="宋体" w:hAnsi="宋体" w:hint="eastAsia"/>
          <w:b/>
          <w:sz w:val="24"/>
        </w:rPr>
        <w:t>七、</w:t>
      </w:r>
      <w:r>
        <w:rPr>
          <w:rFonts w:ascii="宋体" w:eastAsia="宋体" w:hAnsi="宋体"/>
          <w:b/>
          <w:sz w:val="24"/>
        </w:rPr>
        <w:t>备查文件</w:t>
      </w:r>
    </w:p>
    <w:p w14:paraId="739E755B" w14:textId="77777777" w:rsidR="006D324C" w:rsidRDefault="00FF2F67">
      <w:pPr>
        <w:spacing w:line="360" w:lineRule="auto"/>
        <w:ind w:firstLineChars="200" w:firstLine="480"/>
        <w:jc w:val="left"/>
        <w:rPr>
          <w:rFonts w:ascii="宋体" w:eastAsia="宋体" w:hAnsi="宋体" w:hint="eastAsia"/>
          <w:sz w:val="24"/>
        </w:rPr>
      </w:pPr>
      <w:r>
        <w:rPr>
          <w:rFonts w:ascii="宋体" w:eastAsia="宋体" w:hAnsi="宋体" w:hint="eastAsia"/>
          <w:sz w:val="24"/>
        </w:rPr>
        <w:lastRenderedPageBreak/>
        <w:t>1</w:t>
      </w:r>
      <w:r>
        <w:rPr>
          <w:rFonts w:ascii="宋体" w:eastAsia="宋体" w:hAnsi="宋体" w:hint="eastAsia"/>
          <w:sz w:val="24"/>
        </w:rPr>
        <w:t>、公司</w:t>
      </w:r>
      <w:r>
        <w:rPr>
          <w:rFonts w:ascii="宋体" w:eastAsia="宋体" w:hAnsi="宋体"/>
          <w:sz w:val="24"/>
        </w:rPr>
        <w:t>第</w:t>
      </w:r>
      <w:r>
        <w:rPr>
          <w:rFonts w:ascii="宋体" w:eastAsia="宋体" w:hAnsi="宋体" w:hint="eastAsia"/>
          <w:sz w:val="24"/>
        </w:rPr>
        <w:t>六</w:t>
      </w:r>
      <w:r>
        <w:rPr>
          <w:rFonts w:ascii="宋体" w:eastAsia="宋体" w:hAnsi="宋体"/>
          <w:sz w:val="24"/>
        </w:rPr>
        <w:t>届董事会第</w:t>
      </w:r>
      <w:r>
        <w:rPr>
          <w:rFonts w:ascii="宋体" w:eastAsia="宋体" w:hAnsi="宋体" w:hint="eastAsia"/>
          <w:sz w:val="24"/>
        </w:rPr>
        <w:t>八</w:t>
      </w:r>
      <w:r>
        <w:rPr>
          <w:rFonts w:ascii="宋体" w:eastAsia="宋体" w:hAnsi="宋体"/>
          <w:sz w:val="24"/>
        </w:rPr>
        <w:t>次会议决议</w:t>
      </w:r>
      <w:r>
        <w:rPr>
          <w:rFonts w:ascii="宋体" w:eastAsia="宋体" w:hAnsi="宋体" w:hint="eastAsia"/>
          <w:sz w:val="24"/>
        </w:rPr>
        <w:t>。</w:t>
      </w:r>
    </w:p>
    <w:p w14:paraId="21090A6A" w14:textId="77777777" w:rsidR="006D324C" w:rsidRDefault="00FF2F67">
      <w:pPr>
        <w:spacing w:line="360" w:lineRule="auto"/>
        <w:ind w:firstLineChars="200" w:firstLine="480"/>
        <w:rPr>
          <w:rFonts w:ascii="宋体" w:eastAsia="宋体" w:hAnsi="宋体" w:hint="eastAsia"/>
          <w:sz w:val="24"/>
        </w:rPr>
      </w:pPr>
      <w:r>
        <w:rPr>
          <w:rFonts w:ascii="宋体" w:eastAsia="宋体" w:hAnsi="宋体" w:hint="eastAsia"/>
          <w:sz w:val="24"/>
        </w:rPr>
        <w:t>2</w:t>
      </w:r>
      <w:r>
        <w:rPr>
          <w:rFonts w:ascii="宋体" w:eastAsia="宋体" w:hAnsi="宋体" w:hint="eastAsia"/>
          <w:sz w:val="24"/>
        </w:rPr>
        <w:t>、第六届董事会独立董事专门会议</w:t>
      </w:r>
      <w:r>
        <w:rPr>
          <w:rFonts w:ascii="宋体" w:eastAsia="宋体" w:hAnsi="宋体" w:hint="eastAsia"/>
          <w:sz w:val="24"/>
        </w:rPr>
        <w:t>2026</w:t>
      </w:r>
      <w:r>
        <w:rPr>
          <w:rFonts w:ascii="宋体" w:eastAsia="宋体" w:hAnsi="宋体" w:hint="eastAsia"/>
          <w:sz w:val="24"/>
        </w:rPr>
        <w:t>年第三次会议决议。</w:t>
      </w:r>
    </w:p>
    <w:p w14:paraId="72E13CC7" w14:textId="77777777" w:rsidR="006D324C" w:rsidRDefault="00FF2F67">
      <w:pPr>
        <w:spacing w:line="360" w:lineRule="auto"/>
        <w:ind w:firstLineChars="200" w:firstLine="480"/>
        <w:rPr>
          <w:rFonts w:ascii="宋体" w:eastAsia="宋体" w:hAnsi="宋体" w:hint="eastAsia"/>
          <w:sz w:val="24"/>
        </w:rPr>
      </w:pPr>
      <w:r>
        <w:rPr>
          <w:rFonts w:ascii="宋体" w:eastAsia="宋体" w:hAnsi="宋体" w:hint="eastAsia"/>
          <w:sz w:val="24"/>
        </w:rPr>
        <w:t>3</w:t>
      </w:r>
      <w:r>
        <w:rPr>
          <w:rFonts w:ascii="宋体" w:eastAsia="宋体" w:hAnsi="宋体" w:hint="eastAsia"/>
          <w:sz w:val="24"/>
        </w:rPr>
        <w:t>、</w:t>
      </w:r>
      <w:r>
        <w:rPr>
          <w:rFonts w:ascii="宋体" w:eastAsia="宋体" w:hAnsi="宋体"/>
          <w:sz w:val="24"/>
        </w:rPr>
        <w:t>第六届董事会审计委员会</w:t>
      </w:r>
      <w:r>
        <w:rPr>
          <w:rFonts w:ascii="宋体" w:eastAsia="宋体" w:hAnsi="宋体"/>
          <w:sz w:val="24"/>
        </w:rPr>
        <w:t>2026</w:t>
      </w:r>
      <w:r>
        <w:rPr>
          <w:rFonts w:ascii="宋体" w:eastAsia="宋体" w:hAnsi="宋体"/>
          <w:sz w:val="24"/>
        </w:rPr>
        <w:t>年第三次会议决议</w:t>
      </w:r>
    </w:p>
    <w:p w14:paraId="45E587F1" w14:textId="77777777" w:rsidR="006D324C" w:rsidRDefault="00FF2F67">
      <w:pPr>
        <w:spacing w:line="360" w:lineRule="auto"/>
        <w:ind w:firstLineChars="200" w:firstLine="480"/>
        <w:rPr>
          <w:rFonts w:ascii="宋体" w:eastAsia="宋体" w:hAnsi="宋体" w:hint="eastAsia"/>
        </w:rPr>
      </w:pPr>
      <w:r>
        <w:rPr>
          <w:rFonts w:ascii="宋体" w:eastAsia="宋体" w:hAnsi="宋体" w:hint="eastAsia"/>
          <w:sz w:val="24"/>
          <w:szCs w:val="24"/>
        </w:rPr>
        <w:t>本事</w:t>
      </w:r>
      <w:r>
        <w:rPr>
          <w:rFonts w:ascii="宋体" w:eastAsia="宋体" w:hAnsi="宋体"/>
          <w:sz w:val="24"/>
          <w:szCs w:val="24"/>
        </w:rPr>
        <w:t>项</w:t>
      </w:r>
      <w:r>
        <w:rPr>
          <w:rFonts w:ascii="宋体" w:eastAsia="宋体" w:hAnsi="宋体" w:hint="eastAsia"/>
          <w:sz w:val="24"/>
          <w:szCs w:val="24"/>
        </w:rPr>
        <w:t>尚</w:t>
      </w:r>
      <w:r>
        <w:rPr>
          <w:rFonts w:ascii="宋体" w:eastAsia="宋体" w:hAnsi="宋体"/>
          <w:sz w:val="24"/>
          <w:szCs w:val="24"/>
        </w:rPr>
        <w:t>需提交公司股东会审议。</w:t>
      </w:r>
    </w:p>
    <w:p w14:paraId="119D06E3" w14:textId="77777777" w:rsidR="006D324C" w:rsidRDefault="006D324C">
      <w:pPr>
        <w:spacing w:line="360" w:lineRule="auto"/>
        <w:ind w:firstLineChars="200" w:firstLine="480"/>
        <w:rPr>
          <w:rFonts w:ascii="宋体" w:eastAsia="宋体" w:hAnsi="宋体" w:hint="eastAsia"/>
          <w:sz w:val="24"/>
          <w:szCs w:val="24"/>
        </w:rPr>
      </w:pPr>
    </w:p>
    <w:p w14:paraId="501E003D" w14:textId="77777777" w:rsidR="006D324C" w:rsidRDefault="00FF2F67">
      <w:pPr>
        <w:spacing w:line="360" w:lineRule="auto"/>
        <w:ind w:firstLineChars="200" w:firstLine="480"/>
        <w:rPr>
          <w:rFonts w:ascii="宋体" w:eastAsia="宋体" w:hAnsi="宋体" w:hint="eastAsia"/>
          <w:sz w:val="24"/>
          <w:szCs w:val="24"/>
        </w:rPr>
      </w:pPr>
      <w:r>
        <w:rPr>
          <w:rFonts w:ascii="宋体" w:eastAsia="宋体" w:hAnsi="宋体" w:hint="eastAsia"/>
          <w:sz w:val="24"/>
          <w:szCs w:val="24"/>
        </w:rPr>
        <w:t>特</w:t>
      </w:r>
      <w:r>
        <w:rPr>
          <w:rFonts w:ascii="宋体" w:eastAsia="宋体" w:hAnsi="宋体"/>
          <w:sz w:val="24"/>
          <w:szCs w:val="24"/>
        </w:rPr>
        <w:t>此公告</w:t>
      </w:r>
      <w:r>
        <w:rPr>
          <w:rFonts w:ascii="宋体" w:eastAsia="宋体" w:hAnsi="宋体" w:hint="eastAsia"/>
          <w:sz w:val="24"/>
          <w:szCs w:val="24"/>
        </w:rPr>
        <w:t>。</w:t>
      </w:r>
    </w:p>
    <w:p w14:paraId="29FC12D5" w14:textId="77777777" w:rsidR="006D324C" w:rsidRDefault="006D324C">
      <w:pPr>
        <w:spacing w:line="360" w:lineRule="auto"/>
        <w:ind w:firstLineChars="200" w:firstLine="480"/>
        <w:rPr>
          <w:rFonts w:ascii="宋体" w:eastAsia="宋体" w:hAnsi="宋体" w:hint="eastAsia"/>
          <w:sz w:val="24"/>
          <w:szCs w:val="24"/>
        </w:rPr>
      </w:pPr>
    </w:p>
    <w:p w14:paraId="466B33B8" w14:textId="77777777" w:rsidR="006D324C" w:rsidRDefault="006D324C">
      <w:pPr>
        <w:spacing w:line="360" w:lineRule="auto"/>
        <w:ind w:firstLineChars="200" w:firstLine="480"/>
        <w:jc w:val="right"/>
        <w:rPr>
          <w:rFonts w:ascii="宋体" w:eastAsia="宋体" w:hAnsi="宋体" w:hint="eastAsia"/>
          <w:sz w:val="24"/>
        </w:rPr>
      </w:pPr>
    </w:p>
    <w:p w14:paraId="19ABF87B" w14:textId="77777777" w:rsidR="006D324C" w:rsidRDefault="00FF2F67">
      <w:pPr>
        <w:spacing w:line="360" w:lineRule="auto"/>
        <w:ind w:firstLineChars="200" w:firstLine="480"/>
        <w:jc w:val="right"/>
        <w:rPr>
          <w:rFonts w:ascii="宋体" w:eastAsia="宋体" w:hAnsi="宋体" w:hint="eastAsia"/>
          <w:sz w:val="24"/>
        </w:rPr>
      </w:pPr>
      <w:r>
        <w:rPr>
          <w:rFonts w:ascii="宋体" w:eastAsia="宋体" w:hAnsi="宋体" w:hint="eastAsia"/>
          <w:sz w:val="24"/>
        </w:rPr>
        <w:t>浙江威星智能仪表</w:t>
      </w:r>
      <w:r>
        <w:rPr>
          <w:rFonts w:ascii="宋体" w:eastAsia="宋体" w:hAnsi="宋体"/>
          <w:sz w:val="24"/>
        </w:rPr>
        <w:t>股份有限公司</w:t>
      </w:r>
    </w:p>
    <w:p w14:paraId="756849F7" w14:textId="77777777" w:rsidR="006D324C" w:rsidRDefault="00FF2F67">
      <w:pPr>
        <w:spacing w:line="360" w:lineRule="auto"/>
        <w:ind w:firstLineChars="200" w:firstLine="480"/>
        <w:jc w:val="right"/>
        <w:rPr>
          <w:rFonts w:ascii="宋体" w:eastAsia="宋体" w:hAnsi="宋体" w:hint="eastAsia"/>
          <w:sz w:val="24"/>
        </w:rPr>
      </w:pPr>
      <w:r>
        <w:rPr>
          <w:rFonts w:ascii="宋体" w:eastAsia="宋体" w:hAnsi="宋体" w:hint="eastAsia"/>
          <w:sz w:val="24"/>
        </w:rPr>
        <w:t>董事会</w:t>
      </w:r>
    </w:p>
    <w:p w14:paraId="3CEA8D47" w14:textId="77777777" w:rsidR="006D324C" w:rsidRDefault="00FF2F67">
      <w:pPr>
        <w:spacing w:line="360" w:lineRule="auto"/>
        <w:ind w:firstLineChars="200" w:firstLine="480"/>
        <w:jc w:val="right"/>
        <w:rPr>
          <w:rFonts w:ascii="宋体" w:eastAsia="宋体" w:hAnsi="宋体" w:hint="eastAsia"/>
          <w:sz w:val="24"/>
        </w:rPr>
      </w:pPr>
      <w:r>
        <w:rPr>
          <w:rFonts w:ascii="宋体" w:eastAsia="宋体" w:hAnsi="宋体"/>
          <w:sz w:val="24"/>
        </w:rPr>
        <w:t>202</w:t>
      </w:r>
      <w:r>
        <w:rPr>
          <w:rFonts w:ascii="宋体" w:eastAsia="宋体" w:hAnsi="宋体" w:hint="eastAsia"/>
          <w:sz w:val="24"/>
        </w:rPr>
        <w:t>6</w:t>
      </w:r>
      <w:r>
        <w:rPr>
          <w:rFonts w:ascii="宋体" w:eastAsia="宋体" w:hAnsi="宋体"/>
          <w:sz w:val="24"/>
        </w:rPr>
        <w:t>年</w:t>
      </w:r>
      <w:r>
        <w:rPr>
          <w:rFonts w:ascii="宋体" w:eastAsia="宋体" w:hAnsi="宋体" w:hint="eastAsia"/>
          <w:sz w:val="24"/>
        </w:rPr>
        <w:t>8</w:t>
      </w:r>
      <w:r>
        <w:rPr>
          <w:rFonts w:ascii="宋体" w:eastAsia="宋体" w:hAnsi="宋体"/>
          <w:sz w:val="24"/>
        </w:rPr>
        <w:t>月</w:t>
      </w:r>
      <w:r>
        <w:rPr>
          <w:rFonts w:ascii="宋体" w:eastAsia="宋体" w:hAnsi="宋体" w:hint="eastAsia"/>
          <w:sz w:val="24"/>
        </w:rPr>
        <w:t>26</w:t>
      </w:r>
      <w:r>
        <w:rPr>
          <w:rFonts w:ascii="宋体" w:eastAsia="宋体" w:hAnsi="宋体"/>
          <w:sz w:val="24"/>
        </w:rPr>
        <w:t>日</w:t>
      </w:r>
    </w:p>
    <w:sectPr w:rsidR="006D324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E83"/>
    <w:rsid w:val="00007AA4"/>
    <w:rsid w:val="00010FBF"/>
    <w:rsid w:val="00012F94"/>
    <w:rsid w:val="00014376"/>
    <w:rsid w:val="00014C52"/>
    <w:rsid w:val="00032B61"/>
    <w:rsid w:val="00032C31"/>
    <w:rsid w:val="00037927"/>
    <w:rsid w:val="00043C27"/>
    <w:rsid w:val="00052D70"/>
    <w:rsid w:val="00056A40"/>
    <w:rsid w:val="00057AE6"/>
    <w:rsid w:val="00060874"/>
    <w:rsid w:val="00062892"/>
    <w:rsid w:val="000644E6"/>
    <w:rsid w:val="00067627"/>
    <w:rsid w:val="0006779A"/>
    <w:rsid w:val="00072BB3"/>
    <w:rsid w:val="00073867"/>
    <w:rsid w:val="00074501"/>
    <w:rsid w:val="0007702D"/>
    <w:rsid w:val="000771F8"/>
    <w:rsid w:val="00077BD9"/>
    <w:rsid w:val="00082632"/>
    <w:rsid w:val="00087F71"/>
    <w:rsid w:val="00090E12"/>
    <w:rsid w:val="000920D1"/>
    <w:rsid w:val="000943F4"/>
    <w:rsid w:val="000A28AD"/>
    <w:rsid w:val="000B1ED3"/>
    <w:rsid w:val="000C15D5"/>
    <w:rsid w:val="000C164F"/>
    <w:rsid w:val="000C44DA"/>
    <w:rsid w:val="000C4538"/>
    <w:rsid w:val="000C75BD"/>
    <w:rsid w:val="000D0925"/>
    <w:rsid w:val="000D5CA4"/>
    <w:rsid w:val="000D77BA"/>
    <w:rsid w:val="000E04FF"/>
    <w:rsid w:val="000E201C"/>
    <w:rsid w:val="000E2CF7"/>
    <w:rsid w:val="000F3F71"/>
    <w:rsid w:val="000F434D"/>
    <w:rsid w:val="000F507E"/>
    <w:rsid w:val="00103B1A"/>
    <w:rsid w:val="00104366"/>
    <w:rsid w:val="00113179"/>
    <w:rsid w:val="00116F77"/>
    <w:rsid w:val="0012009A"/>
    <w:rsid w:val="001305AC"/>
    <w:rsid w:val="00130E21"/>
    <w:rsid w:val="00143ADC"/>
    <w:rsid w:val="001577EA"/>
    <w:rsid w:val="001637CC"/>
    <w:rsid w:val="00176A42"/>
    <w:rsid w:val="00177525"/>
    <w:rsid w:val="0018373A"/>
    <w:rsid w:val="001865D3"/>
    <w:rsid w:val="0019472C"/>
    <w:rsid w:val="001979B5"/>
    <w:rsid w:val="001B200C"/>
    <w:rsid w:val="001B2BDD"/>
    <w:rsid w:val="001B3B19"/>
    <w:rsid w:val="001D0547"/>
    <w:rsid w:val="001D115F"/>
    <w:rsid w:val="001D3FB8"/>
    <w:rsid w:val="001E0E45"/>
    <w:rsid w:val="001F1B23"/>
    <w:rsid w:val="00206E24"/>
    <w:rsid w:val="00214420"/>
    <w:rsid w:val="00214E26"/>
    <w:rsid w:val="002158AD"/>
    <w:rsid w:val="00231D14"/>
    <w:rsid w:val="00240700"/>
    <w:rsid w:val="0024500B"/>
    <w:rsid w:val="002534CC"/>
    <w:rsid w:val="00260B80"/>
    <w:rsid w:val="00262103"/>
    <w:rsid w:val="002778BB"/>
    <w:rsid w:val="0028073D"/>
    <w:rsid w:val="00284683"/>
    <w:rsid w:val="00284EE2"/>
    <w:rsid w:val="00285F67"/>
    <w:rsid w:val="002A3880"/>
    <w:rsid w:val="002A68C6"/>
    <w:rsid w:val="002C086D"/>
    <w:rsid w:val="002C4176"/>
    <w:rsid w:val="002C4DB5"/>
    <w:rsid w:val="002C7578"/>
    <w:rsid w:val="002C75D9"/>
    <w:rsid w:val="002D13A4"/>
    <w:rsid w:val="002D2A60"/>
    <w:rsid w:val="002D377C"/>
    <w:rsid w:val="002D3CEC"/>
    <w:rsid w:val="002D5489"/>
    <w:rsid w:val="002E39F2"/>
    <w:rsid w:val="002E42FC"/>
    <w:rsid w:val="002E5605"/>
    <w:rsid w:val="002F7024"/>
    <w:rsid w:val="00303F00"/>
    <w:rsid w:val="00313982"/>
    <w:rsid w:val="00315B05"/>
    <w:rsid w:val="0032396D"/>
    <w:rsid w:val="003240FB"/>
    <w:rsid w:val="003304D0"/>
    <w:rsid w:val="0033316B"/>
    <w:rsid w:val="003331B9"/>
    <w:rsid w:val="003401A5"/>
    <w:rsid w:val="00340677"/>
    <w:rsid w:val="00341174"/>
    <w:rsid w:val="00343C1D"/>
    <w:rsid w:val="00352B87"/>
    <w:rsid w:val="0035631E"/>
    <w:rsid w:val="00360173"/>
    <w:rsid w:val="00362B5A"/>
    <w:rsid w:val="00364C1A"/>
    <w:rsid w:val="00376607"/>
    <w:rsid w:val="00385B8F"/>
    <w:rsid w:val="00386035"/>
    <w:rsid w:val="00390A80"/>
    <w:rsid w:val="00397BC9"/>
    <w:rsid w:val="003A0911"/>
    <w:rsid w:val="003A19F1"/>
    <w:rsid w:val="003A4533"/>
    <w:rsid w:val="003B7712"/>
    <w:rsid w:val="003C2244"/>
    <w:rsid w:val="003C27B8"/>
    <w:rsid w:val="003C6C30"/>
    <w:rsid w:val="003E092B"/>
    <w:rsid w:val="003E4B10"/>
    <w:rsid w:val="003E718B"/>
    <w:rsid w:val="003E7F8F"/>
    <w:rsid w:val="003F49D2"/>
    <w:rsid w:val="00402D43"/>
    <w:rsid w:val="00406D54"/>
    <w:rsid w:val="004118A6"/>
    <w:rsid w:val="00411F71"/>
    <w:rsid w:val="00413F65"/>
    <w:rsid w:val="00414474"/>
    <w:rsid w:val="0041491C"/>
    <w:rsid w:val="004169B8"/>
    <w:rsid w:val="0042091F"/>
    <w:rsid w:val="004259B9"/>
    <w:rsid w:val="00433507"/>
    <w:rsid w:val="004343CF"/>
    <w:rsid w:val="00447676"/>
    <w:rsid w:val="0044793A"/>
    <w:rsid w:val="004510B1"/>
    <w:rsid w:val="00455605"/>
    <w:rsid w:val="004574B2"/>
    <w:rsid w:val="00457952"/>
    <w:rsid w:val="00460522"/>
    <w:rsid w:val="00463EDE"/>
    <w:rsid w:val="004641CC"/>
    <w:rsid w:val="00466A28"/>
    <w:rsid w:val="004671C7"/>
    <w:rsid w:val="004706AE"/>
    <w:rsid w:val="00477A1B"/>
    <w:rsid w:val="0049116C"/>
    <w:rsid w:val="0049170C"/>
    <w:rsid w:val="0049666C"/>
    <w:rsid w:val="004D1C8D"/>
    <w:rsid w:val="004D2009"/>
    <w:rsid w:val="004D76BC"/>
    <w:rsid w:val="004E2B6B"/>
    <w:rsid w:val="004E43AD"/>
    <w:rsid w:val="004E5A89"/>
    <w:rsid w:val="00500880"/>
    <w:rsid w:val="00501916"/>
    <w:rsid w:val="00505DD9"/>
    <w:rsid w:val="0051050A"/>
    <w:rsid w:val="00512B33"/>
    <w:rsid w:val="0051355E"/>
    <w:rsid w:val="00514156"/>
    <w:rsid w:val="0052423B"/>
    <w:rsid w:val="0052650B"/>
    <w:rsid w:val="00531A2E"/>
    <w:rsid w:val="00540B5D"/>
    <w:rsid w:val="00546E81"/>
    <w:rsid w:val="005757D7"/>
    <w:rsid w:val="00577C75"/>
    <w:rsid w:val="00582F54"/>
    <w:rsid w:val="005856DC"/>
    <w:rsid w:val="00585A1C"/>
    <w:rsid w:val="00586BDD"/>
    <w:rsid w:val="00590A6B"/>
    <w:rsid w:val="00591F51"/>
    <w:rsid w:val="005926BA"/>
    <w:rsid w:val="00594C7C"/>
    <w:rsid w:val="005967C5"/>
    <w:rsid w:val="005A0F6D"/>
    <w:rsid w:val="005A124F"/>
    <w:rsid w:val="005A3528"/>
    <w:rsid w:val="005A5956"/>
    <w:rsid w:val="005A6655"/>
    <w:rsid w:val="005C2048"/>
    <w:rsid w:val="005C2C26"/>
    <w:rsid w:val="005C450B"/>
    <w:rsid w:val="005D0A4C"/>
    <w:rsid w:val="005D1FB2"/>
    <w:rsid w:val="005D4717"/>
    <w:rsid w:val="005E44C9"/>
    <w:rsid w:val="005E5FE6"/>
    <w:rsid w:val="005F12AB"/>
    <w:rsid w:val="005F190A"/>
    <w:rsid w:val="005F40C6"/>
    <w:rsid w:val="00601453"/>
    <w:rsid w:val="006051E8"/>
    <w:rsid w:val="00605E5D"/>
    <w:rsid w:val="00607E69"/>
    <w:rsid w:val="00613AD7"/>
    <w:rsid w:val="00615BE2"/>
    <w:rsid w:val="00620683"/>
    <w:rsid w:val="006331EE"/>
    <w:rsid w:val="0063770B"/>
    <w:rsid w:val="006400D8"/>
    <w:rsid w:val="0064152E"/>
    <w:rsid w:val="00644759"/>
    <w:rsid w:val="006473C7"/>
    <w:rsid w:val="006479B3"/>
    <w:rsid w:val="006535BC"/>
    <w:rsid w:val="006549EB"/>
    <w:rsid w:val="00657A15"/>
    <w:rsid w:val="006648A8"/>
    <w:rsid w:val="0068590D"/>
    <w:rsid w:val="00687C75"/>
    <w:rsid w:val="00691DD2"/>
    <w:rsid w:val="0069251B"/>
    <w:rsid w:val="0069427E"/>
    <w:rsid w:val="006944AE"/>
    <w:rsid w:val="006A4D43"/>
    <w:rsid w:val="006B1D3A"/>
    <w:rsid w:val="006B2E43"/>
    <w:rsid w:val="006B673D"/>
    <w:rsid w:val="006C0E19"/>
    <w:rsid w:val="006D324C"/>
    <w:rsid w:val="006D36E0"/>
    <w:rsid w:val="006E761C"/>
    <w:rsid w:val="006F3577"/>
    <w:rsid w:val="006F3B86"/>
    <w:rsid w:val="007020AC"/>
    <w:rsid w:val="00704141"/>
    <w:rsid w:val="00711B6D"/>
    <w:rsid w:val="00715798"/>
    <w:rsid w:val="00717E31"/>
    <w:rsid w:val="007201BD"/>
    <w:rsid w:val="00726D56"/>
    <w:rsid w:val="0072713D"/>
    <w:rsid w:val="007271A2"/>
    <w:rsid w:val="00727C77"/>
    <w:rsid w:val="00730F90"/>
    <w:rsid w:val="007327EB"/>
    <w:rsid w:val="00733BA4"/>
    <w:rsid w:val="007434BD"/>
    <w:rsid w:val="00760E01"/>
    <w:rsid w:val="00774BEE"/>
    <w:rsid w:val="007770EC"/>
    <w:rsid w:val="007807CF"/>
    <w:rsid w:val="00782899"/>
    <w:rsid w:val="0078595C"/>
    <w:rsid w:val="00785C90"/>
    <w:rsid w:val="00793F64"/>
    <w:rsid w:val="0079648A"/>
    <w:rsid w:val="00796AD9"/>
    <w:rsid w:val="0079735E"/>
    <w:rsid w:val="007A279B"/>
    <w:rsid w:val="007A498A"/>
    <w:rsid w:val="007B037E"/>
    <w:rsid w:val="007B1F32"/>
    <w:rsid w:val="007B5A35"/>
    <w:rsid w:val="007B6495"/>
    <w:rsid w:val="007C1951"/>
    <w:rsid w:val="007C6F60"/>
    <w:rsid w:val="007E113D"/>
    <w:rsid w:val="007E4AEE"/>
    <w:rsid w:val="007E7C02"/>
    <w:rsid w:val="007F48BD"/>
    <w:rsid w:val="00802E24"/>
    <w:rsid w:val="00804A85"/>
    <w:rsid w:val="0081278E"/>
    <w:rsid w:val="00813925"/>
    <w:rsid w:val="0081449B"/>
    <w:rsid w:val="00823FC6"/>
    <w:rsid w:val="00825C63"/>
    <w:rsid w:val="008333DE"/>
    <w:rsid w:val="00833BAF"/>
    <w:rsid w:val="00842253"/>
    <w:rsid w:val="00843CF7"/>
    <w:rsid w:val="008441DF"/>
    <w:rsid w:val="00854293"/>
    <w:rsid w:val="00874011"/>
    <w:rsid w:val="008750E1"/>
    <w:rsid w:val="00880180"/>
    <w:rsid w:val="0088177E"/>
    <w:rsid w:val="00884A52"/>
    <w:rsid w:val="00893987"/>
    <w:rsid w:val="00897A66"/>
    <w:rsid w:val="008A146E"/>
    <w:rsid w:val="008A42DF"/>
    <w:rsid w:val="008A4AC3"/>
    <w:rsid w:val="008B056E"/>
    <w:rsid w:val="008C3465"/>
    <w:rsid w:val="008C5C66"/>
    <w:rsid w:val="008C6B6E"/>
    <w:rsid w:val="008D21B7"/>
    <w:rsid w:val="008D288B"/>
    <w:rsid w:val="008D2D85"/>
    <w:rsid w:val="008D7597"/>
    <w:rsid w:val="008F078D"/>
    <w:rsid w:val="008F1314"/>
    <w:rsid w:val="008F5C86"/>
    <w:rsid w:val="00901F1F"/>
    <w:rsid w:val="00917D0A"/>
    <w:rsid w:val="00917EF4"/>
    <w:rsid w:val="00922C2A"/>
    <w:rsid w:val="0092726D"/>
    <w:rsid w:val="00935D24"/>
    <w:rsid w:val="00940022"/>
    <w:rsid w:val="00955F2B"/>
    <w:rsid w:val="009566CA"/>
    <w:rsid w:val="00962C58"/>
    <w:rsid w:val="0096678A"/>
    <w:rsid w:val="00971326"/>
    <w:rsid w:val="009770A0"/>
    <w:rsid w:val="00983380"/>
    <w:rsid w:val="0098454B"/>
    <w:rsid w:val="00984DF6"/>
    <w:rsid w:val="00995DF1"/>
    <w:rsid w:val="009A17F5"/>
    <w:rsid w:val="009A1909"/>
    <w:rsid w:val="009A2AF5"/>
    <w:rsid w:val="009A6E2C"/>
    <w:rsid w:val="009C156C"/>
    <w:rsid w:val="009C1612"/>
    <w:rsid w:val="009C7278"/>
    <w:rsid w:val="009D125A"/>
    <w:rsid w:val="009D5452"/>
    <w:rsid w:val="009D60A1"/>
    <w:rsid w:val="009E5251"/>
    <w:rsid w:val="009E630C"/>
    <w:rsid w:val="009F65BA"/>
    <w:rsid w:val="00A04965"/>
    <w:rsid w:val="00A06550"/>
    <w:rsid w:val="00A104DA"/>
    <w:rsid w:val="00A11199"/>
    <w:rsid w:val="00A11531"/>
    <w:rsid w:val="00A17F7F"/>
    <w:rsid w:val="00A333DE"/>
    <w:rsid w:val="00A34C06"/>
    <w:rsid w:val="00A3539E"/>
    <w:rsid w:val="00A35AC0"/>
    <w:rsid w:val="00A36D5B"/>
    <w:rsid w:val="00A41B13"/>
    <w:rsid w:val="00A45EAD"/>
    <w:rsid w:val="00A50682"/>
    <w:rsid w:val="00A527B7"/>
    <w:rsid w:val="00A53859"/>
    <w:rsid w:val="00A53B3D"/>
    <w:rsid w:val="00A54E67"/>
    <w:rsid w:val="00A60BE3"/>
    <w:rsid w:val="00A61D81"/>
    <w:rsid w:val="00A6287D"/>
    <w:rsid w:val="00A64AC0"/>
    <w:rsid w:val="00A70808"/>
    <w:rsid w:val="00A74647"/>
    <w:rsid w:val="00A872C2"/>
    <w:rsid w:val="00A926F4"/>
    <w:rsid w:val="00A92F27"/>
    <w:rsid w:val="00A95D7F"/>
    <w:rsid w:val="00AA4A29"/>
    <w:rsid w:val="00AA6703"/>
    <w:rsid w:val="00AA7FC0"/>
    <w:rsid w:val="00AB109F"/>
    <w:rsid w:val="00AB7A1D"/>
    <w:rsid w:val="00AB7DDB"/>
    <w:rsid w:val="00AC49A2"/>
    <w:rsid w:val="00AD0268"/>
    <w:rsid w:val="00AD17CA"/>
    <w:rsid w:val="00AD60C6"/>
    <w:rsid w:val="00AE1A58"/>
    <w:rsid w:val="00AE24F5"/>
    <w:rsid w:val="00AF0632"/>
    <w:rsid w:val="00AF61AB"/>
    <w:rsid w:val="00AF694B"/>
    <w:rsid w:val="00B04193"/>
    <w:rsid w:val="00B058E5"/>
    <w:rsid w:val="00B067AA"/>
    <w:rsid w:val="00B1593B"/>
    <w:rsid w:val="00B2024A"/>
    <w:rsid w:val="00B22E35"/>
    <w:rsid w:val="00B272DD"/>
    <w:rsid w:val="00B303E5"/>
    <w:rsid w:val="00B319DD"/>
    <w:rsid w:val="00B340FC"/>
    <w:rsid w:val="00B463DB"/>
    <w:rsid w:val="00B530A4"/>
    <w:rsid w:val="00B61468"/>
    <w:rsid w:val="00B64EB7"/>
    <w:rsid w:val="00B675A9"/>
    <w:rsid w:val="00B70221"/>
    <w:rsid w:val="00B75DF4"/>
    <w:rsid w:val="00B805CF"/>
    <w:rsid w:val="00B91308"/>
    <w:rsid w:val="00B974DB"/>
    <w:rsid w:val="00BA4AF0"/>
    <w:rsid w:val="00BB106B"/>
    <w:rsid w:val="00BC15BA"/>
    <w:rsid w:val="00BC4F50"/>
    <w:rsid w:val="00BC75B7"/>
    <w:rsid w:val="00BD1414"/>
    <w:rsid w:val="00BD4136"/>
    <w:rsid w:val="00BD5BD1"/>
    <w:rsid w:val="00BD5E72"/>
    <w:rsid w:val="00BD675D"/>
    <w:rsid w:val="00BD695C"/>
    <w:rsid w:val="00BE1D01"/>
    <w:rsid w:val="00BE1D9D"/>
    <w:rsid w:val="00BE499C"/>
    <w:rsid w:val="00BF5251"/>
    <w:rsid w:val="00C00955"/>
    <w:rsid w:val="00C01B1A"/>
    <w:rsid w:val="00C04E96"/>
    <w:rsid w:val="00C052BC"/>
    <w:rsid w:val="00C066EA"/>
    <w:rsid w:val="00C10AD7"/>
    <w:rsid w:val="00C12CCD"/>
    <w:rsid w:val="00C168C8"/>
    <w:rsid w:val="00C203BC"/>
    <w:rsid w:val="00C2268E"/>
    <w:rsid w:val="00C27DE8"/>
    <w:rsid w:val="00C32AB8"/>
    <w:rsid w:val="00C34FFA"/>
    <w:rsid w:val="00C371AC"/>
    <w:rsid w:val="00C40731"/>
    <w:rsid w:val="00C41BAF"/>
    <w:rsid w:val="00C41D9E"/>
    <w:rsid w:val="00C45C0F"/>
    <w:rsid w:val="00C52DEA"/>
    <w:rsid w:val="00C55586"/>
    <w:rsid w:val="00C55E28"/>
    <w:rsid w:val="00C66306"/>
    <w:rsid w:val="00C66DE7"/>
    <w:rsid w:val="00C67003"/>
    <w:rsid w:val="00C70DF6"/>
    <w:rsid w:val="00C728C5"/>
    <w:rsid w:val="00C865C0"/>
    <w:rsid w:val="00C930C5"/>
    <w:rsid w:val="00C932D0"/>
    <w:rsid w:val="00CA00B9"/>
    <w:rsid w:val="00CB01C2"/>
    <w:rsid w:val="00CC7876"/>
    <w:rsid w:val="00CD5B33"/>
    <w:rsid w:val="00CD5C6C"/>
    <w:rsid w:val="00CE1B02"/>
    <w:rsid w:val="00CE512F"/>
    <w:rsid w:val="00CE6891"/>
    <w:rsid w:val="00CF1CA4"/>
    <w:rsid w:val="00CF249F"/>
    <w:rsid w:val="00CF3A14"/>
    <w:rsid w:val="00CF7783"/>
    <w:rsid w:val="00D05E0B"/>
    <w:rsid w:val="00D212E0"/>
    <w:rsid w:val="00D228C8"/>
    <w:rsid w:val="00D23BF6"/>
    <w:rsid w:val="00D27AF2"/>
    <w:rsid w:val="00D35049"/>
    <w:rsid w:val="00D3632B"/>
    <w:rsid w:val="00D43757"/>
    <w:rsid w:val="00D55FBF"/>
    <w:rsid w:val="00D60E37"/>
    <w:rsid w:val="00D7101D"/>
    <w:rsid w:val="00D7482A"/>
    <w:rsid w:val="00D762EA"/>
    <w:rsid w:val="00D80E63"/>
    <w:rsid w:val="00D829C7"/>
    <w:rsid w:val="00D8434D"/>
    <w:rsid w:val="00D853CB"/>
    <w:rsid w:val="00D918E6"/>
    <w:rsid w:val="00D938C3"/>
    <w:rsid w:val="00D95C68"/>
    <w:rsid w:val="00D97776"/>
    <w:rsid w:val="00DA184B"/>
    <w:rsid w:val="00DB14FF"/>
    <w:rsid w:val="00DB1C15"/>
    <w:rsid w:val="00DB2B0E"/>
    <w:rsid w:val="00DC45FB"/>
    <w:rsid w:val="00DC6C24"/>
    <w:rsid w:val="00DC6D36"/>
    <w:rsid w:val="00DD7286"/>
    <w:rsid w:val="00DE0E83"/>
    <w:rsid w:val="00DE18C1"/>
    <w:rsid w:val="00DE4798"/>
    <w:rsid w:val="00DF3A77"/>
    <w:rsid w:val="00DF55E2"/>
    <w:rsid w:val="00E005CA"/>
    <w:rsid w:val="00E0441A"/>
    <w:rsid w:val="00E15CB6"/>
    <w:rsid w:val="00E17F4A"/>
    <w:rsid w:val="00E2080E"/>
    <w:rsid w:val="00E2240F"/>
    <w:rsid w:val="00E25EC7"/>
    <w:rsid w:val="00E27C33"/>
    <w:rsid w:val="00E31165"/>
    <w:rsid w:val="00E373D9"/>
    <w:rsid w:val="00E46BBD"/>
    <w:rsid w:val="00E474DA"/>
    <w:rsid w:val="00E55A48"/>
    <w:rsid w:val="00E620C0"/>
    <w:rsid w:val="00E63067"/>
    <w:rsid w:val="00E636B3"/>
    <w:rsid w:val="00E6384D"/>
    <w:rsid w:val="00E80900"/>
    <w:rsid w:val="00E86AC3"/>
    <w:rsid w:val="00E91381"/>
    <w:rsid w:val="00E92201"/>
    <w:rsid w:val="00E96461"/>
    <w:rsid w:val="00EA455C"/>
    <w:rsid w:val="00EB3B73"/>
    <w:rsid w:val="00EB4848"/>
    <w:rsid w:val="00EB6A5C"/>
    <w:rsid w:val="00ED1E66"/>
    <w:rsid w:val="00ED214C"/>
    <w:rsid w:val="00EF30D5"/>
    <w:rsid w:val="00EF531F"/>
    <w:rsid w:val="00F0736F"/>
    <w:rsid w:val="00F10F60"/>
    <w:rsid w:val="00F11F03"/>
    <w:rsid w:val="00F15636"/>
    <w:rsid w:val="00F17BF7"/>
    <w:rsid w:val="00F17D86"/>
    <w:rsid w:val="00F208D7"/>
    <w:rsid w:val="00F252EA"/>
    <w:rsid w:val="00F2688E"/>
    <w:rsid w:val="00F2790D"/>
    <w:rsid w:val="00F352E2"/>
    <w:rsid w:val="00F421BF"/>
    <w:rsid w:val="00F43FDA"/>
    <w:rsid w:val="00F53687"/>
    <w:rsid w:val="00F6351B"/>
    <w:rsid w:val="00F7061C"/>
    <w:rsid w:val="00F815AD"/>
    <w:rsid w:val="00F83C44"/>
    <w:rsid w:val="00F84A12"/>
    <w:rsid w:val="00F84E55"/>
    <w:rsid w:val="00F91D22"/>
    <w:rsid w:val="00FA006C"/>
    <w:rsid w:val="00FA1891"/>
    <w:rsid w:val="00FA4A0E"/>
    <w:rsid w:val="00FA661B"/>
    <w:rsid w:val="00FA736B"/>
    <w:rsid w:val="00FB2F8B"/>
    <w:rsid w:val="00FB3014"/>
    <w:rsid w:val="00FB63EB"/>
    <w:rsid w:val="00FC3067"/>
    <w:rsid w:val="00FC5183"/>
    <w:rsid w:val="00FC6ED8"/>
    <w:rsid w:val="00FD1EAF"/>
    <w:rsid w:val="00FD33E6"/>
    <w:rsid w:val="00FD533B"/>
    <w:rsid w:val="00FD5349"/>
    <w:rsid w:val="00FD69F6"/>
    <w:rsid w:val="00FD7665"/>
    <w:rsid w:val="00FE32F5"/>
    <w:rsid w:val="00FE638E"/>
    <w:rsid w:val="00FF2F47"/>
    <w:rsid w:val="00FF2F67"/>
    <w:rsid w:val="47211E81"/>
    <w:rsid w:val="473130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4171D5"/>
  <w15:docId w15:val="{AD1F3EE6-89BE-495D-A5AA-C26C7C6BE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pPr>
      <w:ind w:leftChars="2500" w:left="100"/>
    </w:pPr>
  </w:style>
  <w:style w:type="paragraph" w:styleId="a5">
    <w:name w:val="footer"/>
    <w:basedOn w:val="a"/>
    <w:link w:val="a6"/>
    <w:uiPriority w:val="99"/>
    <w:unhideWhenUsed/>
    <w:pPr>
      <w:tabs>
        <w:tab w:val="center" w:pos="4153"/>
        <w:tab w:val="right" w:pos="8306"/>
      </w:tabs>
      <w:snapToGrid w:val="0"/>
      <w:jc w:val="left"/>
    </w:pPr>
    <w:rPr>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table" w:styleId="aa">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semiHidden/>
    <w:unhideWhenUsed/>
    <w:rPr>
      <w:color w:val="0000FF"/>
      <w:u w:val="none"/>
    </w:rPr>
  </w:style>
  <w:style w:type="paragraph" w:customStyle="1" w:styleId="Default">
    <w:name w:val="Default"/>
    <w:qFormat/>
    <w:pPr>
      <w:widowControl w:val="0"/>
      <w:autoSpaceDE w:val="0"/>
      <w:autoSpaceDN w:val="0"/>
      <w:adjustRightInd w:val="0"/>
    </w:pPr>
    <w:rPr>
      <w:rFonts w:ascii="宋体" w:eastAsia="宋体" w:cs="宋体"/>
      <w:color w:val="000000"/>
      <w:sz w:val="24"/>
      <w:szCs w:val="24"/>
    </w:rPr>
  </w:style>
  <w:style w:type="paragraph" w:styleId="ac">
    <w:name w:val="List Paragraph"/>
    <w:basedOn w:val="a"/>
    <w:uiPriority w:val="34"/>
    <w:qFormat/>
    <w:pPr>
      <w:ind w:firstLineChars="200" w:firstLine="420"/>
    </w:pPr>
  </w:style>
  <w:style w:type="character" w:customStyle="1" w:styleId="a8">
    <w:name w:val="页眉 字符"/>
    <w:basedOn w:val="a0"/>
    <w:link w:val="a7"/>
    <w:uiPriority w:val="99"/>
    <w:rPr>
      <w:sz w:val="18"/>
      <w:szCs w:val="18"/>
    </w:rPr>
  </w:style>
  <w:style w:type="character" w:customStyle="1" w:styleId="a6">
    <w:name w:val="页脚 字符"/>
    <w:basedOn w:val="a0"/>
    <w:link w:val="a5"/>
    <w:uiPriority w:val="99"/>
    <w:rPr>
      <w:sz w:val="18"/>
      <w:szCs w:val="18"/>
    </w:rPr>
  </w:style>
  <w:style w:type="paragraph" w:customStyle="1" w:styleId="reader-word-layer">
    <w:name w:val="reader-word-layer"/>
    <w:basedOn w:val="a"/>
    <w:pPr>
      <w:widowControl/>
      <w:spacing w:before="100" w:beforeAutospacing="1" w:after="100" w:afterAutospacing="1"/>
      <w:jc w:val="left"/>
    </w:pPr>
    <w:rPr>
      <w:rFonts w:ascii="宋体" w:eastAsia="宋体" w:hAnsi="宋体" w:cs="宋体"/>
      <w:kern w:val="0"/>
      <w:sz w:val="24"/>
      <w:szCs w:val="24"/>
    </w:rPr>
  </w:style>
  <w:style w:type="character" w:customStyle="1" w:styleId="a4">
    <w:name w:val="日期 字符"/>
    <w:basedOn w:val="a0"/>
    <w:link w:val="a3"/>
    <w:uiPriority w:val="99"/>
    <w:semiHidden/>
  </w:style>
  <w:style w:type="paragraph" w:customStyle="1" w:styleId="ad">
    <w:name w:val="一级"/>
    <w:basedOn w:val="a"/>
    <w:qFormat/>
    <w:pPr>
      <w:widowControl/>
      <w:adjustRightInd w:val="0"/>
      <w:snapToGrid w:val="0"/>
      <w:spacing w:beforeLines="100" w:afterLines="100" w:after="200" w:line="360" w:lineRule="auto"/>
      <w:ind w:leftChars="50" w:left="50" w:rightChars="50" w:right="50" w:firstLineChars="200" w:firstLine="200"/>
    </w:pPr>
    <w:rPr>
      <w:rFonts w:ascii="宋体" w:eastAsia="宋体" w:hAnsi="宋体" w:cs="Times New Roman"/>
      <w:b/>
      <w:kern w:val="0"/>
      <w:sz w:val="24"/>
    </w:rPr>
  </w:style>
  <w:style w:type="table" w:customStyle="1" w:styleId="1">
    <w:name w:val="网格型1"/>
    <w:basedOn w:val="a1"/>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2"/>
    <w:basedOn w:val="a1"/>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F4B2BBA2-BFC9-412F-969E-B1B844B0BE6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477</Words>
  <Characters>2725</Characters>
  <Application>Microsoft Office Word</Application>
  <DocSecurity>0</DocSecurity>
  <Lines>22</Lines>
  <Paragraphs>6</Paragraphs>
  <ScaleCrop>false</ScaleCrop>
  <Company>Microsoft</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颜 冰玮</dc:creator>
  <cp:lastModifiedBy>chen xiao hui</cp:lastModifiedBy>
  <cp:revision>408</cp:revision>
  <dcterms:created xsi:type="dcterms:W3CDTF">2017-03-09T09:41:00Z</dcterms:created>
  <dcterms:modified xsi:type="dcterms:W3CDTF">2026-08-25T01:55:00Z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2052-11.8.2.10154</vt:lpwstr>
  </property>
</Properties>
</file>