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2B725" w14:textId="04FBBD53" w:rsidR="009B4A9B" w:rsidRDefault="000E3350">
      <w:pPr>
        <w:spacing w:line="360" w:lineRule="auto"/>
        <w:rPr>
          <w:rFonts w:ascii="宋体" w:eastAsia="宋体" w:hAnsi="宋体" w:hint="eastAsia"/>
          <w:sz w:val="24"/>
        </w:rPr>
      </w:pPr>
      <w:r>
        <w:rPr>
          <w:rFonts w:ascii="宋体" w:eastAsia="宋体" w:hAnsi="宋体"/>
          <w:sz w:val="24"/>
        </w:rPr>
        <w:t>证券代码：002849          证券简称</w:t>
      </w:r>
      <w:r>
        <w:rPr>
          <w:rFonts w:ascii="宋体" w:eastAsia="宋体" w:hAnsi="宋体" w:hint="eastAsia"/>
          <w:sz w:val="24"/>
        </w:rPr>
        <w:t xml:space="preserve">：威星智能 </w:t>
      </w:r>
      <w:r>
        <w:rPr>
          <w:rFonts w:ascii="宋体" w:eastAsia="宋体" w:hAnsi="宋体"/>
          <w:sz w:val="24"/>
        </w:rPr>
        <w:t xml:space="preserve">      </w:t>
      </w:r>
      <w:r>
        <w:rPr>
          <w:rFonts w:ascii="宋体" w:eastAsia="宋体" w:hAnsi="宋体" w:hint="eastAsia"/>
          <w:sz w:val="24"/>
        </w:rPr>
        <w:t>公告编号：2</w:t>
      </w:r>
      <w:r>
        <w:rPr>
          <w:rFonts w:ascii="宋体" w:eastAsia="宋体" w:hAnsi="宋体"/>
          <w:sz w:val="24"/>
        </w:rPr>
        <w:t>02</w:t>
      </w:r>
      <w:r w:rsidR="003857FE">
        <w:rPr>
          <w:rFonts w:ascii="宋体" w:eastAsia="宋体" w:hAnsi="宋体"/>
          <w:sz w:val="24"/>
        </w:rPr>
        <w:t>6</w:t>
      </w:r>
      <w:r>
        <w:rPr>
          <w:rFonts w:ascii="宋体" w:eastAsia="宋体" w:hAnsi="宋体" w:hint="eastAsia"/>
          <w:sz w:val="24"/>
        </w:rPr>
        <w:t>-</w:t>
      </w:r>
      <w:r>
        <w:rPr>
          <w:rFonts w:ascii="宋体" w:eastAsia="宋体" w:hAnsi="宋体"/>
          <w:sz w:val="24"/>
        </w:rPr>
        <w:t>0</w:t>
      </w:r>
      <w:r w:rsidR="00904A61">
        <w:rPr>
          <w:rFonts w:ascii="宋体" w:eastAsia="宋体" w:hAnsi="宋体"/>
          <w:sz w:val="24"/>
        </w:rPr>
        <w:t>49</w:t>
      </w:r>
    </w:p>
    <w:p w14:paraId="0938D2CC" w14:textId="77777777" w:rsidR="009B4A9B" w:rsidRDefault="009B4A9B">
      <w:pPr>
        <w:spacing w:line="360" w:lineRule="auto"/>
        <w:jc w:val="center"/>
        <w:rPr>
          <w:rFonts w:ascii="宋体" w:eastAsia="宋体" w:hAnsi="宋体" w:hint="eastAsia"/>
          <w:b/>
          <w:sz w:val="28"/>
        </w:rPr>
      </w:pPr>
    </w:p>
    <w:p w14:paraId="63FB931B" w14:textId="77777777" w:rsidR="009B4A9B" w:rsidRDefault="000E3350">
      <w:pPr>
        <w:spacing w:line="360" w:lineRule="auto"/>
        <w:jc w:val="center"/>
        <w:rPr>
          <w:rFonts w:ascii="宋体" w:eastAsia="宋体" w:hAnsi="宋体" w:hint="eastAsia"/>
          <w:b/>
          <w:sz w:val="28"/>
        </w:rPr>
      </w:pPr>
      <w:r>
        <w:rPr>
          <w:rFonts w:ascii="宋体" w:eastAsia="宋体" w:hAnsi="宋体"/>
          <w:b/>
          <w:sz w:val="28"/>
        </w:rPr>
        <w:t>浙江威星智能</w:t>
      </w:r>
      <w:r>
        <w:rPr>
          <w:rFonts w:ascii="宋体" w:eastAsia="宋体" w:hAnsi="宋体" w:hint="eastAsia"/>
          <w:b/>
          <w:sz w:val="28"/>
        </w:rPr>
        <w:t>仪表</w:t>
      </w:r>
      <w:r>
        <w:rPr>
          <w:rFonts w:ascii="宋体" w:eastAsia="宋体" w:hAnsi="宋体"/>
          <w:b/>
          <w:sz w:val="28"/>
        </w:rPr>
        <w:t>股份有限公司</w:t>
      </w:r>
    </w:p>
    <w:p w14:paraId="45475916" w14:textId="700A7EB0" w:rsidR="009B4A9B" w:rsidRDefault="000E3350">
      <w:pPr>
        <w:spacing w:line="360" w:lineRule="auto"/>
        <w:jc w:val="center"/>
        <w:rPr>
          <w:rFonts w:ascii="宋体" w:eastAsia="宋体" w:hAnsi="宋体" w:hint="eastAsia"/>
          <w:b/>
          <w:sz w:val="28"/>
        </w:rPr>
      </w:pPr>
      <w:r>
        <w:rPr>
          <w:rFonts w:ascii="宋体" w:eastAsia="宋体" w:hAnsi="宋体" w:hint="eastAsia"/>
          <w:b/>
          <w:sz w:val="28"/>
        </w:rPr>
        <w:t>关于</w:t>
      </w:r>
      <w:r>
        <w:rPr>
          <w:rFonts w:ascii="宋体" w:eastAsia="宋体" w:hAnsi="宋体"/>
          <w:b/>
          <w:sz w:val="28"/>
        </w:rPr>
        <w:t>202</w:t>
      </w:r>
      <w:r w:rsidR="003857FE">
        <w:rPr>
          <w:rFonts w:ascii="宋体" w:eastAsia="宋体" w:hAnsi="宋体"/>
          <w:b/>
          <w:sz w:val="28"/>
        </w:rPr>
        <w:t>6</w:t>
      </w:r>
      <w:r>
        <w:rPr>
          <w:rFonts w:ascii="宋体" w:eastAsia="宋体" w:hAnsi="宋体" w:hint="eastAsia"/>
          <w:b/>
          <w:sz w:val="28"/>
        </w:rPr>
        <w:t>年半年度</w:t>
      </w:r>
      <w:r>
        <w:rPr>
          <w:rFonts w:ascii="宋体" w:eastAsia="宋体" w:hAnsi="宋体"/>
          <w:b/>
          <w:bCs/>
          <w:sz w:val="28"/>
        </w:rPr>
        <w:t>计提信用及资产减值</w:t>
      </w:r>
      <w:r>
        <w:rPr>
          <w:rFonts w:ascii="宋体" w:eastAsia="宋体" w:hAnsi="宋体" w:hint="eastAsia"/>
          <w:b/>
          <w:bCs/>
          <w:sz w:val="28"/>
        </w:rPr>
        <w:t>准备</w:t>
      </w:r>
      <w:r>
        <w:rPr>
          <w:rFonts w:ascii="宋体" w:eastAsia="宋体" w:hAnsi="宋体" w:hint="eastAsia"/>
          <w:b/>
          <w:sz w:val="28"/>
        </w:rPr>
        <w:t>的公告</w:t>
      </w:r>
    </w:p>
    <w:p w14:paraId="5D317882" w14:textId="77777777" w:rsidR="009B4A9B" w:rsidRDefault="000E3350">
      <w:pPr>
        <w:spacing w:line="360" w:lineRule="auto"/>
        <w:jc w:val="center"/>
        <w:rPr>
          <w:rFonts w:ascii="宋体" w:eastAsia="宋体" w:hAnsi="宋体" w:hint="eastAsia"/>
          <w:b/>
          <w:sz w:val="24"/>
        </w:rPr>
      </w:pPr>
      <w:r>
        <w:rPr>
          <w:rFonts w:ascii="宋体" w:eastAsia="宋体" w:hAnsi="宋体"/>
          <w:b/>
          <w:sz w:val="28"/>
        </w:rPr>
        <w:t xml:space="preserve"> </w:t>
      </w:r>
    </w:p>
    <w:p w14:paraId="4DE8F30F" w14:textId="77777777" w:rsidR="009B4A9B" w:rsidRDefault="000E3350">
      <w:pPr>
        <w:widowControl/>
        <w:pBdr>
          <w:top w:val="single" w:sz="4" w:space="1" w:color="auto"/>
          <w:left w:val="single" w:sz="4" w:space="4" w:color="auto"/>
          <w:bottom w:val="single" w:sz="4" w:space="1" w:color="auto"/>
          <w:right w:val="single" w:sz="4" w:space="0" w:color="auto"/>
        </w:pBdr>
        <w:spacing w:line="360" w:lineRule="auto"/>
        <w:ind w:firstLineChars="200" w:firstLine="482"/>
        <w:rPr>
          <w:rFonts w:ascii="宋体" w:eastAsia="宋体" w:hAnsi="宋体" w:cs="宋体" w:hint="eastAsia"/>
          <w:b/>
          <w:kern w:val="0"/>
          <w:sz w:val="24"/>
          <w:szCs w:val="24"/>
        </w:rPr>
      </w:pPr>
      <w:r>
        <w:rPr>
          <w:rFonts w:ascii="宋体" w:eastAsia="宋体" w:hAnsi="宋体" w:cs="宋体" w:hint="eastAsia"/>
          <w:b/>
          <w:kern w:val="0"/>
          <w:sz w:val="24"/>
        </w:rPr>
        <w:t>本公司及董事会全体成员</w:t>
      </w:r>
      <w:r>
        <w:rPr>
          <w:rFonts w:ascii="宋体" w:eastAsia="宋体" w:hAnsi="宋体" w:cs="宋体"/>
          <w:b/>
          <w:kern w:val="0"/>
          <w:sz w:val="24"/>
        </w:rPr>
        <w:t>保证信息披露的内容真实、准确、完整，没有虚假</w:t>
      </w:r>
      <w:r>
        <w:rPr>
          <w:rFonts w:ascii="宋体" w:eastAsia="宋体" w:hAnsi="宋体" w:cs="宋体"/>
          <w:b/>
          <w:kern w:val="0"/>
          <w:sz w:val="24"/>
          <w:szCs w:val="24"/>
        </w:rPr>
        <w:t>记载、误导性陈述或重大遗漏。</w:t>
      </w:r>
    </w:p>
    <w:p w14:paraId="7CC16C80" w14:textId="191B72B9" w:rsidR="009B4A9B" w:rsidRDefault="000E3350">
      <w:pPr>
        <w:spacing w:before="240" w:line="360" w:lineRule="auto"/>
        <w:ind w:firstLineChars="200" w:firstLine="480"/>
        <w:rPr>
          <w:rFonts w:ascii="宋体" w:eastAsia="宋体" w:hAnsi="宋体" w:hint="eastAsia"/>
          <w:sz w:val="24"/>
        </w:rPr>
      </w:pPr>
      <w:r>
        <w:rPr>
          <w:rFonts w:ascii="宋体" w:eastAsia="宋体" w:hAnsi="宋体" w:hint="eastAsia"/>
          <w:sz w:val="24"/>
        </w:rPr>
        <w:t>浙江</w:t>
      </w:r>
      <w:r>
        <w:rPr>
          <w:rFonts w:ascii="宋体" w:eastAsia="宋体" w:hAnsi="宋体"/>
          <w:sz w:val="24"/>
        </w:rPr>
        <w:t>威星智能仪表股份有限公司</w:t>
      </w:r>
      <w:r>
        <w:rPr>
          <w:rFonts w:ascii="宋体" w:eastAsia="宋体" w:hAnsi="宋体" w:hint="eastAsia"/>
          <w:sz w:val="24"/>
        </w:rPr>
        <w:t>（以下简称“公司”或“威星智能”）</w:t>
      </w:r>
      <w:r w:rsidR="007B42C0">
        <w:rPr>
          <w:rFonts w:ascii="宋体" w:eastAsia="宋体" w:hAnsi="宋体" w:hint="eastAsia"/>
          <w:sz w:val="24"/>
        </w:rPr>
        <w:t>分别</w:t>
      </w:r>
      <w:r>
        <w:rPr>
          <w:rFonts w:ascii="宋体" w:eastAsia="宋体" w:hAnsi="宋体" w:hint="eastAsia"/>
          <w:sz w:val="24"/>
        </w:rPr>
        <w:t>于202</w:t>
      </w:r>
      <w:r w:rsidR="003857FE">
        <w:rPr>
          <w:rFonts w:ascii="宋体" w:eastAsia="宋体" w:hAnsi="宋体"/>
          <w:sz w:val="24"/>
        </w:rPr>
        <w:t>6</w:t>
      </w:r>
      <w:r>
        <w:rPr>
          <w:rFonts w:ascii="宋体" w:eastAsia="宋体" w:hAnsi="宋体"/>
          <w:sz w:val="24"/>
        </w:rPr>
        <w:t>年8</w:t>
      </w:r>
      <w:r>
        <w:rPr>
          <w:rFonts w:ascii="宋体" w:eastAsia="宋体" w:hAnsi="宋体" w:hint="eastAsia"/>
          <w:sz w:val="24"/>
        </w:rPr>
        <w:t>月2</w:t>
      </w:r>
      <w:r w:rsidR="007B42C0">
        <w:rPr>
          <w:rFonts w:ascii="宋体" w:eastAsia="宋体" w:hAnsi="宋体" w:hint="eastAsia"/>
          <w:sz w:val="24"/>
        </w:rPr>
        <w:t>1</w:t>
      </w:r>
      <w:r>
        <w:rPr>
          <w:rFonts w:ascii="宋体" w:eastAsia="宋体" w:hAnsi="宋体"/>
          <w:sz w:val="24"/>
        </w:rPr>
        <w:t>日</w:t>
      </w:r>
      <w:r w:rsidR="007B42C0">
        <w:rPr>
          <w:rFonts w:ascii="宋体" w:eastAsia="宋体" w:hAnsi="宋体" w:hint="eastAsia"/>
          <w:sz w:val="24"/>
        </w:rPr>
        <w:t>、202</w:t>
      </w:r>
      <w:r w:rsidR="007B42C0">
        <w:rPr>
          <w:rFonts w:ascii="宋体" w:eastAsia="宋体" w:hAnsi="宋体"/>
          <w:sz w:val="24"/>
        </w:rPr>
        <w:t>6年8</w:t>
      </w:r>
      <w:r w:rsidR="007B42C0">
        <w:rPr>
          <w:rFonts w:ascii="宋体" w:eastAsia="宋体" w:hAnsi="宋体" w:hint="eastAsia"/>
          <w:sz w:val="24"/>
        </w:rPr>
        <w:t>月24</w:t>
      </w:r>
      <w:r w:rsidR="007B42C0">
        <w:rPr>
          <w:rFonts w:ascii="宋体" w:eastAsia="宋体" w:hAnsi="宋体"/>
          <w:sz w:val="24"/>
        </w:rPr>
        <w:t>日</w:t>
      </w:r>
      <w:r w:rsidR="007B42C0">
        <w:rPr>
          <w:rFonts w:ascii="宋体" w:eastAsia="宋体" w:hAnsi="宋体" w:hint="eastAsia"/>
          <w:sz w:val="24"/>
        </w:rPr>
        <w:t>召开了第六届董事会审计委员会</w:t>
      </w:r>
      <w:r w:rsidR="00E77662">
        <w:rPr>
          <w:rFonts w:ascii="宋体" w:eastAsia="宋体" w:hAnsi="宋体" w:hint="eastAsia"/>
          <w:sz w:val="24"/>
        </w:rPr>
        <w:t>第三次会议</w:t>
      </w:r>
      <w:r w:rsidR="007B42C0">
        <w:rPr>
          <w:rFonts w:ascii="宋体" w:eastAsia="宋体" w:hAnsi="宋体" w:hint="eastAsia"/>
          <w:sz w:val="24"/>
        </w:rPr>
        <w:t>及</w:t>
      </w:r>
      <w:r>
        <w:rPr>
          <w:rFonts w:ascii="宋体" w:eastAsia="宋体" w:hAnsi="宋体" w:hint="eastAsia"/>
          <w:sz w:val="24"/>
        </w:rPr>
        <w:t>第六届董事会第</w:t>
      </w:r>
      <w:r w:rsidR="003857FE">
        <w:rPr>
          <w:rFonts w:ascii="宋体" w:eastAsia="宋体" w:hAnsi="宋体" w:hint="eastAsia"/>
          <w:sz w:val="24"/>
        </w:rPr>
        <w:t>八</w:t>
      </w:r>
      <w:r>
        <w:rPr>
          <w:rFonts w:ascii="宋体" w:eastAsia="宋体" w:hAnsi="宋体" w:hint="eastAsia"/>
          <w:sz w:val="24"/>
        </w:rPr>
        <w:t>次会议，审议通过了《关于202</w:t>
      </w:r>
      <w:r w:rsidR="004B5900">
        <w:rPr>
          <w:rFonts w:ascii="宋体" w:eastAsia="宋体" w:hAnsi="宋体"/>
          <w:sz w:val="24"/>
        </w:rPr>
        <w:t>6</w:t>
      </w:r>
      <w:r>
        <w:rPr>
          <w:rFonts w:ascii="宋体" w:eastAsia="宋体" w:hAnsi="宋体" w:hint="eastAsia"/>
          <w:sz w:val="24"/>
        </w:rPr>
        <w:t>年半年度计提信用及资产减值准备的议案》，本事项无需提交公司股东会审议。现将相关情况公告如下：</w:t>
      </w:r>
    </w:p>
    <w:p w14:paraId="236C537A" w14:textId="77777777" w:rsidR="009B4A9B" w:rsidRDefault="000E3350">
      <w:pPr>
        <w:spacing w:line="360" w:lineRule="auto"/>
        <w:ind w:firstLineChars="200" w:firstLine="482"/>
        <w:rPr>
          <w:rFonts w:ascii="宋体" w:eastAsia="宋体" w:hAnsi="宋体" w:cs="Times New Roman" w:hint="eastAsia"/>
          <w:b/>
          <w:kern w:val="0"/>
          <w:sz w:val="24"/>
          <w:szCs w:val="24"/>
        </w:rPr>
      </w:pPr>
      <w:r>
        <w:rPr>
          <w:rFonts w:ascii="宋体" w:eastAsia="宋体" w:hAnsi="宋体" w:cs="Times New Roman"/>
          <w:b/>
          <w:kern w:val="0"/>
          <w:sz w:val="24"/>
          <w:szCs w:val="24"/>
        </w:rPr>
        <w:t>一、</w:t>
      </w:r>
      <w:r>
        <w:rPr>
          <w:rFonts w:ascii="宋体" w:eastAsia="宋体" w:hAnsi="宋体" w:cs="Times New Roman" w:hint="eastAsia"/>
          <w:b/>
          <w:kern w:val="0"/>
          <w:sz w:val="24"/>
          <w:szCs w:val="24"/>
        </w:rPr>
        <w:t>计提信用及</w:t>
      </w:r>
      <w:r>
        <w:rPr>
          <w:rFonts w:ascii="宋体" w:eastAsia="宋体" w:hAnsi="宋体" w:cs="Times New Roman"/>
          <w:b/>
          <w:kern w:val="0"/>
          <w:sz w:val="24"/>
          <w:szCs w:val="24"/>
        </w:rPr>
        <w:t>资产减值准备情况概述</w:t>
      </w:r>
    </w:p>
    <w:p w14:paraId="0DCB353B" w14:textId="77777777" w:rsidR="009B4A9B" w:rsidRDefault="000E3350">
      <w:pPr>
        <w:spacing w:line="360" w:lineRule="auto"/>
        <w:ind w:firstLineChars="200" w:firstLine="480"/>
        <w:rPr>
          <w:rFonts w:ascii="宋体" w:eastAsia="宋体" w:hAnsi="宋体" w:cs="Times New Roman" w:hint="eastAsia"/>
          <w:sz w:val="24"/>
          <w:szCs w:val="21"/>
        </w:rPr>
      </w:pPr>
      <w:r>
        <w:rPr>
          <w:rFonts w:ascii="宋体" w:eastAsia="宋体" w:hAnsi="宋体" w:cs="Times New Roman" w:hint="eastAsia"/>
          <w:sz w:val="24"/>
          <w:szCs w:val="21"/>
        </w:rPr>
        <w:t>1、本次计提信用及资产减值准备的原因</w:t>
      </w:r>
    </w:p>
    <w:p w14:paraId="47C5DDF8" w14:textId="6AC90EA4" w:rsidR="009B4A9B" w:rsidRDefault="00351E4D">
      <w:pPr>
        <w:spacing w:line="360" w:lineRule="auto"/>
        <w:ind w:firstLineChars="200" w:firstLine="480"/>
        <w:rPr>
          <w:rFonts w:ascii="宋体" w:eastAsia="宋体" w:hAnsi="宋体" w:cs="Times New Roman" w:hint="eastAsia"/>
          <w:sz w:val="24"/>
          <w:szCs w:val="21"/>
        </w:rPr>
      </w:pPr>
      <w:r>
        <w:rPr>
          <w:rFonts w:ascii="宋体" w:eastAsia="宋体" w:hAnsi="宋体" w:cs="Times New Roman" w:hint="eastAsia"/>
          <w:sz w:val="24"/>
          <w:szCs w:val="21"/>
        </w:rPr>
        <w:t>根据《企业会计准则》</w:t>
      </w:r>
      <w:r w:rsidR="000E3350">
        <w:rPr>
          <w:rFonts w:ascii="宋体" w:eastAsia="宋体" w:hAnsi="宋体" w:cs="Times New Roman" w:hint="eastAsia"/>
          <w:sz w:val="24"/>
          <w:szCs w:val="21"/>
        </w:rPr>
        <w:t>《深圳证券交易所上市公司自律监管指引第1号——主板上市公司规范运作》的有关规定，公司在资产负债表日对截至202</w:t>
      </w:r>
      <w:r w:rsidR="00C3264B">
        <w:rPr>
          <w:rFonts w:ascii="宋体" w:eastAsia="宋体" w:hAnsi="宋体" w:cs="Times New Roman"/>
          <w:sz w:val="24"/>
          <w:szCs w:val="21"/>
        </w:rPr>
        <w:t>6</w:t>
      </w:r>
      <w:r w:rsidR="000E3350">
        <w:rPr>
          <w:rFonts w:ascii="宋体" w:eastAsia="宋体" w:hAnsi="宋体" w:cs="Times New Roman" w:hint="eastAsia"/>
          <w:sz w:val="24"/>
          <w:szCs w:val="21"/>
        </w:rPr>
        <w:t>年6月30日的公司应收账款、应收票据、其他应收款、存货、合同资产、长期股权投资等资产进行了全面清查，对相关资产价值出现的减值迹象进行了充分地分析和评估。经减值测试，公司需根据《企业会计准则》规定计提相关资产减值准备。</w:t>
      </w:r>
    </w:p>
    <w:p w14:paraId="0CE13C27" w14:textId="77777777" w:rsidR="009B4A9B" w:rsidRDefault="000E3350">
      <w:pPr>
        <w:spacing w:line="360" w:lineRule="auto"/>
        <w:ind w:firstLineChars="200" w:firstLine="480"/>
        <w:rPr>
          <w:rFonts w:ascii="宋体" w:eastAsia="宋体" w:hAnsi="宋体" w:cs="Times New Roman" w:hint="eastAsia"/>
          <w:sz w:val="24"/>
          <w:szCs w:val="21"/>
        </w:rPr>
      </w:pPr>
      <w:r>
        <w:rPr>
          <w:rFonts w:ascii="宋体" w:eastAsia="宋体" w:hAnsi="宋体" w:cs="Times New Roman" w:hint="eastAsia"/>
          <w:sz w:val="24"/>
          <w:szCs w:val="21"/>
        </w:rPr>
        <w:t>2、本次计提信用及资产减值准备的资产范围、总金额和拟计入的报告期间</w:t>
      </w:r>
    </w:p>
    <w:p w14:paraId="37CD5B77" w14:textId="31A12C89" w:rsidR="009B4A9B" w:rsidRDefault="000E3350">
      <w:pPr>
        <w:widowControl/>
        <w:spacing w:line="360" w:lineRule="auto"/>
        <w:ind w:firstLineChars="200" w:firstLine="480"/>
        <w:rPr>
          <w:rFonts w:ascii="宋体" w:eastAsia="宋体" w:hAnsi="宋体" w:cs="Times New Roman" w:hint="eastAsia"/>
          <w:sz w:val="24"/>
          <w:szCs w:val="21"/>
        </w:rPr>
      </w:pPr>
      <w:r>
        <w:rPr>
          <w:rFonts w:ascii="宋体" w:eastAsia="宋体" w:hAnsi="宋体" w:cs="Times New Roman" w:hint="eastAsia"/>
          <w:sz w:val="24"/>
          <w:szCs w:val="21"/>
        </w:rPr>
        <w:t>公司对202</w:t>
      </w:r>
      <w:r w:rsidR="00C3264B">
        <w:rPr>
          <w:rFonts w:ascii="宋体" w:eastAsia="宋体" w:hAnsi="宋体" w:cs="Times New Roman"/>
          <w:sz w:val="24"/>
          <w:szCs w:val="21"/>
        </w:rPr>
        <w:t>6</w:t>
      </w:r>
      <w:r>
        <w:rPr>
          <w:rFonts w:ascii="宋体" w:eastAsia="宋体" w:hAnsi="宋体" w:cs="Times New Roman" w:hint="eastAsia"/>
          <w:sz w:val="24"/>
          <w:szCs w:val="21"/>
        </w:rPr>
        <w:t>年6月30日存在一定减值迹象的应收账款、应收票据、其他应收款、存货、合同资产、长期股权投资等资产进行了减值计提，计提各项资产减值准备金额共计</w:t>
      </w:r>
      <w:r w:rsidR="00BA36AB" w:rsidRPr="00BA36AB">
        <w:rPr>
          <w:rFonts w:ascii="宋体" w:eastAsia="宋体" w:hAnsi="宋体" w:cs="Times New Roman"/>
          <w:sz w:val="24"/>
          <w:szCs w:val="21"/>
        </w:rPr>
        <w:t>9,976,693.09</w:t>
      </w:r>
      <w:r>
        <w:rPr>
          <w:rFonts w:ascii="宋体" w:eastAsia="宋体" w:hAnsi="宋体" w:cs="Times New Roman" w:hint="eastAsia"/>
          <w:sz w:val="24"/>
          <w:szCs w:val="21"/>
        </w:rPr>
        <w:t>元。本次计提信用及资产减值准备计入的报告期间为202</w:t>
      </w:r>
      <w:r w:rsidR="00C3264B">
        <w:rPr>
          <w:rFonts w:ascii="宋体" w:eastAsia="宋体" w:hAnsi="宋体" w:cs="Times New Roman"/>
          <w:sz w:val="24"/>
          <w:szCs w:val="21"/>
        </w:rPr>
        <w:t>6</w:t>
      </w:r>
      <w:r>
        <w:rPr>
          <w:rFonts w:ascii="宋体" w:eastAsia="宋体" w:hAnsi="宋体" w:cs="Times New Roman" w:hint="eastAsia"/>
          <w:sz w:val="24"/>
          <w:szCs w:val="21"/>
        </w:rPr>
        <w:t>年1月1日至202</w:t>
      </w:r>
      <w:r w:rsidR="00C3264B">
        <w:rPr>
          <w:rFonts w:ascii="宋体" w:eastAsia="宋体" w:hAnsi="宋体" w:cs="Times New Roman"/>
          <w:sz w:val="24"/>
          <w:szCs w:val="21"/>
        </w:rPr>
        <w:t>6</w:t>
      </w:r>
      <w:r>
        <w:rPr>
          <w:rFonts w:ascii="宋体" w:eastAsia="宋体" w:hAnsi="宋体" w:cs="Times New Roman" w:hint="eastAsia"/>
          <w:sz w:val="24"/>
          <w:szCs w:val="21"/>
        </w:rPr>
        <w:t>年6月30日。</w:t>
      </w:r>
    </w:p>
    <w:p w14:paraId="5C3AC004" w14:textId="77777777" w:rsidR="009B4A9B" w:rsidRDefault="000E3350">
      <w:pPr>
        <w:spacing w:line="360" w:lineRule="auto"/>
        <w:ind w:firstLineChars="200" w:firstLine="480"/>
        <w:rPr>
          <w:rFonts w:ascii="宋体" w:eastAsia="宋体" w:hAnsi="宋体" w:cs="Times New Roman" w:hint="eastAsia"/>
          <w:sz w:val="24"/>
          <w:szCs w:val="21"/>
        </w:rPr>
      </w:pPr>
      <w:r>
        <w:rPr>
          <w:rFonts w:ascii="宋体" w:eastAsia="宋体" w:hAnsi="宋体" w:cs="Times New Roman" w:hint="eastAsia"/>
          <w:sz w:val="24"/>
          <w:szCs w:val="21"/>
        </w:rPr>
        <w:t>本次计提信用及资产减值准备的具体情况如下：</w:t>
      </w:r>
    </w:p>
    <w:tbl>
      <w:tblPr>
        <w:tblStyle w:val="1"/>
        <w:tblW w:w="5041" w:type="pct"/>
        <w:tblInd w:w="-5" w:type="dxa"/>
        <w:tblLook w:val="04A0" w:firstRow="1" w:lastRow="0" w:firstColumn="1" w:lastColumn="0" w:noHBand="0" w:noVBand="1"/>
      </w:tblPr>
      <w:tblGrid>
        <w:gridCol w:w="1993"/>
        <w:gridCol w:w="3372"/>
        <w:gridCol w:w="2999"/>
      </w:tblGrid>
      <w:tr w:rsidR="009B4A9B" w14:paraId="36589923" w14:textId="77777777" w:rsidTr="009A5A84">
        <w:trPr>
          <w:trHeight w:val="317"/>
        </w:trPr>
        <w:tc>
          <w:tcPr>
            <w:tcW w:w="1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E546D9" w14:textId="77777777" w:rsidR="009B4A9B" w:rsidRDefault="000E3350">
            <w:pPr>
              <w:spacing w:line="300" w:lineRule="auto"/>
              <w:ind w:firstLineChars="200" w:firstLine="422"/>
              <w:jc w:val="center"/>
              <w:rPr>
                <w:rFonts w:ascii="宋体" w:eastAsia="宋体" w:hAnsi="宋体" w:hint="eastAsia"/>
                <w:b/>
                <w:kern w:val="0"/>
                <w:szCs w:val="21"/>
              </w:rPr>
            </w:pPr>
            <w:r>
              <w:rPr>
                <w:rFonts w:ascii="宋体" w:eastAsia="宋体" w:hAnsi="宋体" w:hint="eastAsia"/>
                <w:b/>
                <w:kern w:val="0"/>
                <w:szCs w:val="21"/>
              </w:rPr>
              <w:t>类别</w:t>
            </w:r>
          </w:p>
        </w:tc>
        <w:tc>
          <w:tcPr>
            <w:tcW w:w="33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DBD429" w14:textId="77777777" w:rsidR="009B4A9B" w:rsidRDefault="000E3350">
            <w:pPr>
              <w:spacing w:line="300" w:lineRule="auto"/>
              <w:jc w:val="center"/>
              <w:rPr>
                <w:rFonts w:ascii="宋体" w:eastAsia="宋体" w:hAnsi="宋体" w:hint="eastAsia"/>
                <w:b/>
                <w:kern w:val="0"/>
                <w:szCs w:val="21"/>
              </w:rPr>
            </w:pPr>
            <w:r>
              <w:rPr>
                <w:rFonts w:ascii="宋体" w:eastAsia="宋体" w:hAnsi="宋体" w:hint="eastAsia"/>
                <w:b/>
                <w:kern w:val="0"/>
                <w:szCs w:val="21"/>
              </w:rPr>
              <w:t>项目</w:t>
            </w:r>
          </w:p>
        </w:tc>
        <w:tc>
          <w:tcPr>
            <w:tcW w:w="2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672739" w14:textId="77777777" w:rsidR="009B4A9B" w:rsidRDefault="000E3350">
            <w:pPr>
              <w:spacing w:line="300" w:lineRule="auto"/>
              <w:jc w:val="center"/>
              <w:rPr>
                <w:rFonts w:ascii="宋体" w:eastAsia="宋体" w:hAnsi="宋体" w:hint="eastAsia"/>
                <w:b/>
                <w:kern w:val="0"/>
                <w:szCs w:val="21"/>
              </w:rPr>
            </w:pPr>
            <w:r>
              <w:rPr>
                <w:rFonts w:ascii="宋体" w:eastAsia="宋体" w:hAnsi="宋体" w:hint="eastAsia"/>
                <w:b/>
                <w:kern w:val="0"/>
                <w:szCs w:val="21"/>
              </w:rPr>
              <w:t>本期计提（元）</w:t>
            </w:r>
          </w:p>
        </w:tc>
      </w:tr>
      <w:tr w:rsidR="00BA36AB" w:rsidRPr="00536E0B" w14:paraId="48516319" w14:textId="77777777" w:rsidTr="009A5A84">
        <w:tc>
          <w:tcPr>
            <w:tcW w:w="1993" w:type="dxa"/>
            <w:vMerge w:val="restart"/>
            <w:tcBorders>
              <w:top w:val="single" w:sz="4" w:space="0" w:color="auto"/>
              <w:left w:val="single" w:sz="4" w:space="0" w:color="auto"/>
              <w:bottom w:val="single" w:sz="4" w:space="0" w:color="auto"/>
              <w:right w:val="single" w:sz="4" w:space="0" w:color="auto"/>
            </w:tcBorders>
            <w:vAlign w:val="center"/>
          </w:tcPr>
          <w:p w14:paraId="7FF7AEF9" w14:textId="77777777" w:rsidR="00BA36AB" w:rsidRDefault="00BA36AB" w:rsidP="00BA36AB">
            <w:pPr>
              <w:spacing w:line="300" w:lineRule="auto"/>
              <w:jc w:val="center"/>
              <w:rPr>
                <w:rFonts w:ascii="宋体" w:eastAsia="宋体" w:hAnsi="宋体" w:hint="eastAsia"/>
                <w:kern w:val="0"/>
                <w:szCs w:val="21"/>
              </w:rPr>
            </w:pPr>
            <w:bookmarkStart w:id="0" w:name="_Hlk207181978"/>
            <w:r>
              <w:rPr>
                <w:rFonts w:ascii="宋体" w:eastAsia="宋体" w:hAnsi="宋体" w:hint="eastAsia"/>
                <w:kern w:val="0"/>
                <w:szCs w:val="21"/>
              </w:rPr>
              <w:t>信用减值损失</w:t>
            </w:r>
          </w:p>
        </w:tc>
        <w:tc>
          <w:tcPr>
            <w:tcW w:w="3372" w:type="dxa"/>
            <w:tcBorders>
              <w:top w:val="single" w:sz="4" w:space="0" w:color="auto"/>
              <w:left w:val="single" w:sz="4" w:space="0" w:color="auto"/>
              <w:bottom w:val="single" w:sz="4" w:space="0" w:color="auto"/>
              <w:right w:val="single" w:sz="4" w:space="0" w:color="auto"/>
            </w:tcBorders>
            <w:vAlign w:val="center"/>
          </w:tcPr>
          <w:p w14:paraId="5C008FCD" w14:textId="77777777" w:rsidR="00BA36AB" w:rsidRDefault="00BA36AB" w:rsidP="00BA36AB">
            <w:pPr>
              <w:spacing w:line="300" w:lineRule="auto"/>
              <w:jc w:val="left"/>
              <w:rPr>
                <w:rFonts w:ascii="宋体" w:eastAsia="宋体" w:hAnsi="宋体" w:hint="eastAsia"/>
                <w:kern w:val="0"/>
                <w:szCs w:val="21"/>
              </w:rPr>
            </w:pPr>
            <w:r>
              <w:rPr>
                <w:rFonts w:ascii="宋体" w:eastAsia="宋体" w:hAnsi="宋体" w:hint="eastAsia"/>
                <w:kern w:val="0"/>
                <w:szCs w:val="21"/>
              </w:rPr>
              <w:t>应收票据坏账损失</w:t>
            </w:r>
          </w:p>
        </w:tc>
        <w:tc>
          <w:tcPr>
            <w:tcW w:w="2999" w:type="dxa"/>
            <w:tcBorders>
              <w:top w:val="single" w:sz="4" w:space="0" w:color="auto"/>
              <w:left w:val="single" w:sz="4" w:space="0" w:color="auto"/>
              <w:bottom w:val="single" w:sz="4" w:space="0" w:color="auto"/>
              <w:right w:val="single" w:sz="4" w:space="0" w:color="auto"/>
            </w:tcBorders>
            <w:vAlign w:val="center"/>
          </w:tcPr>
          <w:p w14:paraId="1C99835E" w14:textId="07C3555F" w:rsidR="00BA36AB" w:rsidRPr="00536E0B" w:rsidRDefault="00BA36AB" w:rsidP="00BA36AB">
            <w:pPr>
              <w:spacing w:line="300" w:lineRule="auto"/>
              <w:jc w:val="right"/>
              <w:rPr>
                <w:rFonts w:ascii="宋体" w:eastAsia="宋体" w:hAnsi="宋体" w:hint="eastAsia"/>
                <w:kern w:val="0"/>
                <w:szCs w:val="21"/>
              </w:rPr>
            </w:pPr>
            <w:r w:rsidRPr="00C05EFA">
              <w:rPr>
                <w:rFonts w:ascii="宋体" w:eastAsia="宋体" w:hAnsi="宋体"/>
                <w:kern w:val="0"/>
                <w:szCs w:val="21"/>
              </w:rPr>
              <w:t xml:space="preserve">402,430.14 </w:t>
            </w:r>
            <w:r w:rsidRPr="00C05EFA">
              <w:rPr>
                <w:rFonts w:ascii="宋体" w:eastAsia="宋体" w:hAnsi="宋体" w:hint="eastAsia"/>
                <w:kern w:val="0"/>
                <w:szCs w:val="21"/>
              </w:rPr>
              <w:t xml:space="preserve">  </w:t>
            </w:r>
          </w:p>
        </w:tc>
      </w:tr>
      <w:tr w:rsidR="00BA36AB" w:rsidRPr="00536E0B" w14:paraId="2766143E" w14:textId="77777777" w:rsidTr="009A5A84">
        <w:tc>
          <w:tcPr>
            <w:tcW w:w="0" w:type="auto"/>
            <w:vMerge/>
            <w:tcBorders>
              <w:top w:val="single" w:sz="4" w:space="0" w:color="auto"/>
              <w:left w:val="single" w:sz="4" w:space="0" w:color="auto"/>
              <w:bottom w:val="single" w:sz="4" w:space="0" w:color="auto"/>
              <w:right w:val="single" w:sz="4" w:space="0" w:color="auto"/>
            </w:tcBorders>
            <w:vAlign w:val="center"/>
          </w:tcPr>
          <w:p w14:paraId="75538787" w14:textId="77777777" w:rsidR="00BA36AB" w:rsidRDefault="00BA36AB" w:rsidP="00BA36AB">
            <w:pPr>
              <w:widowControl/>
              <w:jc w:val="left"/>
              <w:rPr>
                <w:rFonts w:ascii="宋体" w:eastAsia="宋体" w:hAnsi="宋体" w:hint="eastAsia"/>
                <w:kern w:val="0"/>
                <w:szCs w:val="21"/>
              </w:rPr>
            </w:pPr>
          </w:p>
        </w:tc>
        <w:tc>
          <w:tcPr>
            <w:tcW w:w="3372" w:type="dxa"/>
            <w:tcBorders>
              <w:top w:val="single" w:sz="4" w:space="0" w:color="auto"/>
              <w:left w:val="single" w:sz="4" w:space="0" w:color="auto"/>
              <w:bottom w:val="single" w:sz="4" w:space="0" w:color="auto"/>
              <w:right w:val="single" w:sz="4" w:space="0" w:color="auto"/>
            </w:tcBorders>
            <w:vAlign w:val="center"/>
          </w:tcPr>
          <w:p w14:paraId="208330E5" w14:textId="77777777" w:rsidR="00BA36AB" w:rsidRDefault="00BA36AB" w:rsidP="00BA36AB">
            <w:pPr>
              <w:spacing w:line="300" w:lineRule="auto"/>
              <w:jc w:val="left"/>
              <w:rPr>
                <w:rFonts w:ascii="宋体" w:eastAsia="宋体" w:hAnsi="宋体" w:hint="eastAsia"/>
                <w:kern w:val="0"/>
                <w:szCs w:val="21"/>
              </w:rPr>
            </w:pPr>
            <w:r>
              <w:rPr>
                <w:rFonts w:ascii="宋体" w:eastAsia="宋体" w:hAnsi="宋体" w:hint="eastAsia"/>
                <w:kern w:val="0"/>
                <w:szCs w:val="21"/>
              </w:rPr>
              <w:t>应收账款坏账损失</w:t>
            </w:r>
          </w:p>
        </w:tc>
        <w:tc>
          <w:tcPr>
            <w:tcW w:w="2999" w:type="dxa"/>
            <w:tcBorders>
              <w:top w:val="single" w:sz="4" w:space="0" w:color="auto"/>
              <w:left w:val="single" w:sz="4" w:space="0" w:color="auto"/>
              <w:bottom w:val="single" w:sz="4" w:space="0" w:color="auto"/>
              <w:right w:val="single" w:sz="4" w:space="0" w:color="auto"/>
            </w:tcBorders>
            <w:vAlign w:val="center"/>
          </w:tcPr>
          <w:p w14:paraId="63F77590" w14:textId="2F576BC5" w:rsidR="00BA36AB" w:rsidRPr="00536E0B" w:rsidRDefault="00BA36AB" w:rsidP="00BA36AB">
            <w:pPr>
              <w:spacing w:line="300" w:lineRule="auto"/>
              <w:jc w:val="right"/>
              <w:rPr>
                <w:rFonts w:ascii="宋体" w:eastAsia="宋体" w:hAnsi="宋体" w:hint="eastAsia"/>
                <w:kern w:val="0"/>
                <w:szCs w:val="21"/>
              </w:rPr>
            </w:pPr>
            <w:r w:rsidRPr="00C05EFA">
              <w:rPr>
                <w:rFonts w:ascii="宋体" w:eastAsia="宋体" w:hAnsi="宋体"/>
                <w:kern w:val="0"/>
                <w:szCs w:val="21"/>
              </w:rPr>
              <w:t>8,607,363.64</w:t>
            </w:r>
            <w:r w:rsidRPr="00C05EFA">
              <w:rPr>
                <w:rFonts w:ascii="宋体" w:eastAsia="宋体" w:hAnsi="宋体" w:hint="eastAsia"/>
                <w:kern w:val="0"/>
                <w:szCs w:val="21"/>
              </w:rPr>
              <w:t xml:space="preserve">  </w:t>
            </w:r>
          </w:p>
        </w:tc>
      </w:tr>
      <w:bookmarkEnd w:id="0"/>
      <w:tr w:rsidR="00BA36AB" w:rsidRPr="00536E0B" w14:paraId="3F25AE44" w14:textId="77777777" w:rsidTr="009A5A84">
        <w:tc>
          <w:tcPr>
            <w:tcW w:w="0" w:type="auto"/>
            <w:vMerge/>
            <w:tcBorders>
              <w:top w:val="single" w:sz="4" w:space="0" w:color="auto"/>
              <w:left w:val="single" w:sz="4" w:space="0" w:color="auto"/>
              <w:bottom w:val="single" w:sz="4" w:space="0" w:color="auto"/>
              <w:right w:val="single" w:sz="4" w:space="0" w:color="auto"/>
            </w:tcBorders>
            <w:vAlign w:val="center"/>
          </w:tcPr>
          <w:p w14:paraId="12235CD4" w14:textId="77777777" w:rsidR="00BA36AB" w:rsidRDefault="00BA36AB" w:rsidP="00BA36AB">
            <w:pPr>
              <w:widowControl/>
              <w:jc w:val="left"/>
              <w:rPr>
                <w:rFonts w:ascii="宋体" w:eastAsia="宋体" w:hAnsi="宋体" w:hint="eastAsia"/>
                <w:kern w:val="0"/>
                <w:szCs w:val="21"/>
              </w:rPr>
            </w:pPr>
          </w:p>
        </w:tc>
        <w:tc>
          <w:tcPr>
            <w:tcW w:w="3372" w:type="dxa"/>
            <w:tcBorders>
              <w:top w:val="single" w:sz="4" w:space="0" w:color="auto"/>
              <w:left w:val="single" w:sz="4" w:space="0" w:color="auto"/>
              <w:bottom w:val="single" w:sz="4" w:space="0" w:color="auto"/>
              <w:right w:val="single" w:sz="4" w:space="0" w:color="auto"/>
            </w:tcBorders>
            <w:vAlign w:val="center"/>
          </w:tcPr>
          <w:p w14:paraId="71ACDD5F" w14:textId="77777777" w:rsidR="00BA36AB" w:rsidRDefault="00BA36AB" w:rsidP="00BA36AB">
            <w:pPr>
              <w:spacing w:line="300" w:lineRule="auto"/>
              <w:jc w:val="left"/>
              <w:rPr>
                <w:rFonts w:ascii="宋体" w:eastAsia="宋体" w:hAnsi="宋体" w:hint="eastAsia"/>
                <w:kern w:val="0"/>
                <w:szCs w:val="21"/>
              </w:rPr>
            </w:pPr>
            <w:r>
              <w:rPr>
                <w:rFonts w:ascii="宋体" w:eastAsia="宋体" w:hAnsi="宋体" w:hint="eastAsia"/>
                <w:kern w:val="0"/>
                <w:szCs w:val="21"/>
              </w:rPr>
              <w:t>应收款项融资坏账损失</w:t>
            </w:r>
          </w:p>
        </w:tc>
        <w:tc>
          <w:tcPr>
            <w:tcW w:w="2999" w:type="dxa"/>
            <w:tcBorders>
              <w:top w:val="single" w:sz="4" w:space="0" w:color="auto"/>
              <w:left w:val="single" w:sz="4" w:space="0" w:color="auto"/>
              <w:bottom w:val="single" w:sz="4" w:space="0" w:color="auto"/>
              <w:right w:val="single" w:sz="4" w:space="0" w:color="auto"/>
            </w:tcBorders>
          </w:tcPr>
          <w:p w14:paraId="0FB573BC" w14:textId="4BB90A6C" w:rsidR="00BA36AB" w:rsidRPr="00536E0B" w:rsidRDefault="00BA36AB" w:rsidP="00BA36AB">
            <w:pPr>
              <w:spacing w:line="300" w:lineRule="auto"/>
              <w:jc w:val="right"/>
              <w:rPr>
                <w:rFonts w:ascii="宋体" w:eastAsia="宋体" w:hAnsi="宋体" w:hint="eastAsia"/>
                <w:kern w:val="0"/>
                <w:szCs w:val="21"/>
              </w:rPr>
            </w:pPr>
            <w:r w:rsidRPr="00C05EFA">
              <w:rPr>
                <w:rFonts w:ascii="宋体" w:eastAsia="宋体" w:hAnsi="宋体"/>
                <w:kern w:val="0"/>
                <w:szCs w:val="21"/>
              </w:rPr>
              <w:t>-4,232,125.40</w:t>
            </w:r>
          </w:p>
        </w:tc>
      </w:tr>
      <w:tr w:rsidR="00BA36AB" w:rsidRPr="00536E0B" w14:paraId="36BF413F" w14:textId="77777777" w:rsidTr="009A5A84">
        <w:tc>
          <w:tcPr>
            <w:tcW w:w="0" w:type="auto"/>
            <w:vMerge/>
            <w:tcBorders>
              <w:top w:val="single" w:sz="4" w:space="0" w:color="auto"/>
              <w:left w:val="single" w:sz="4" w:space="0" w:color="auto"/>
              <w:bottom w:val="single" w:sz="4" w:space="0" w:color="auto"/>
              <w:right w:val="single" w:sz="4" w:space="0" w:color="auto"/>
            </w:tcBorders>
            <w:vAlign w:val="center"/>
          </w:tcPr>
          <w:p w14:paraId="239B3EAC" w14:textId="77777777" w:rsidR="00BA36AB" w:rsidRDefault="00BA36AB" w:rsidP="00BA36AB">
            <w:pPr>
              <w:widowControl/>
              <w:jc w:val="left"/>
              <w:rPr>
                <w:rFonts w:ascii="宋体" w:eastAsia="宋体" w:hAnsi="宋体" w:hint="eastAsia"/>
                <w:kern w:val="0"/>
                <w:szCs w:val="21"/>
              </w:rPr>
            </w:pPr>
          </w:p>
        </w:tc>
        <w:tc>
          <w:tcPr>
            <w:tcW w:w="3372" w:type="dxa"/>
            <w:tcBorders>
              <w:top w:val="single" w:sz="4" w:space="0" w:color="auto"/>
              <w:left w:val="single" w:sz="4" w:space="0" w:color="auto"/>
              <w:bottom w:val="single" w:sz="4" w:space="0" w:color="auto"/>
              <w:right w:val="single" w:sz="4" w:space="0" w:color="auto"/>
            </w:tcBorders>
            <w:vAlign w:val="center"/>
          </w:tcPr>
          <w:p w14:paraId="15C00967" w14:textId="77777777" w:rsidR="00BA36AB" w:rsidRDefault="00BA36AB" w:rsidP="00BA36AB">
            <w:pPr>
              <w:spacing w:line="300" w:lineRule="auto"/>
              <w:jc w:val="left"/>
              <w:rPr>
                <w:rFonts w:ascii="宋体" w:eastAsia="宋体" w:hAnsi="宋体" w:hint="eastAsia"/>
                <w:kern w:val="0"/>
                <w:szCs w:val="21"/>
              </w:rPr>
            </w:pPr>
            <w:r>
              <w:rPr>
                <w:rFonts w:ascii="宋体" w:eastAsia="宋体" w:hAnsi="宋体" w:hint="eastAsia"/>
                <w:kern w:val="0"/>
                <w:szCs w:val="21"/>
              </w:rPr>
              <w:t>其他应收款坏账损失</w:t>
            </w:r>
          </w:p>
        </w:tc>
        <w:tc>
          <w:tcPr>
            <w:tcW w:w="2999" w:type="dxa"/>
            <w:tcBorders>
              <w:top w:val="single" w:sz="4" w:space="0" w:color="auto"/>
              <w:left w:val="single" w:sz="4" w:space="0" w:color="auto"/>
              <w:bottom w:val="single" w:sz="4" w:space="0" w:color="auto"/>
              <w:right w:val="single" w:sz="4" w:space="0" w:color="auto"/>
            </w:tcBorders>
          </w:tcPr>
          <w:p w14:paraId="033581BF" w14:textId="4AE78636" w:rsidR="00BA36AB" w:rsidRPr="00536E0B" w:rsidRDefault="00BA36AB" w:rsidP="00BA36AB">
            <w:pPr>
              <w:spacing w:line="300" w:lineRule="auto"/>
              <w:jc w:val="right"/>
              <w:rPr>
                <w:rFonts w:ascii="宋体" w:eastAsia="宋体" w:hAnsi="宋体" w:hint="eastAsia"/>
                <w:kern w:val="0"/>
                <w:szCs w:val="21"/>
              </w:rPr>
            </w:pPr>
            <w:r w:rsidRPr="00BA36AB">
              <w:rPr>
                <w:rFonts w:ascii="宋体" w:eastAsia="宋体" w:hAnsi="宋体"/>
                <w:kern w:val="0"/>
                <w:szCs w:val="21"/>
              </w:rPr>
              <w:t>559,529.21</w:t>
            </w:r>
          </w:p>
        </w:tc>
      </w:tr>
      <w:tr w:rsidR="009A5A84" w:rsidRPr="00536E0B" w14:paraId="2100773E" w14:textId="77777777" w:rsidTr="009A5A84">
        <w:tc>
          <w:tcPr>
            <w:tcW w:w="0" w:type="auto"/>
            <w:vMerge w:val="restart"/>
            <w:tcBorders>
              <w:top w:val="single" w:sz="4" w:space="0" w:color="auto"/>
              <w:left w:val="single" w:sz="4" w:space="0" w:color="auto"/>
              <w:right w:val="single" w:sz="4" w:space="0" w:color="auto"/>
            </w:tcBorders>
            <w:vAlign w:val="center"/>
          </w:tcPr>
          <w:p w14:paraId="6236E4F4" w14:textId="77777777" w:rsidR="009A5A84" w:rsidRDefault="009A5A84" w:rsidP="009A5A84">
            <w:pPr>
              <w:spacing w:line="300" w:lineRule="auto"/>
              <w:ind w:firstLineChars="200" w:firstLine="420"/>
              <w:jc w:val="center"/>
              <w:rPr>
                <w:rFonts w:ascii="宋体" w:eastAsia="宋体" w:hAnsi="宋体" w:hint="eastAsia"/>
                <w:kern w:val="0"/>
                <w:szCs w:val="21"/>
              </w:rPr>
            </w:pPr>
            <w:r>
              <w:rPr>
                <w:rFonts w:ascii="宋体" w:eastAsia="宋体" w:hAnsi="宋体" w:hint="eastAsia"/>
                <w:kern w:val="0"/>
                <w:szCs w:val="21"/>
              </w:rPr>
              <w:t>资产减值损失</w:t>
            </w:r>
          </w:p>
        </w:tc>
        <w:tc>
          <w:tcPr>
            <w:tcW w:w="3372" w:type="dxa"/>
            <w:tcBorders>
              <w:top w:val="single" w:sz="4" w:space="0" w:color="auto"/>
              <w:left w:val="single" w:sz="4" w:space="0" w:color="auto"/>
              <w:bottom w:val="single" w:sz="4" w:space="0" w:color="auto"/>
              <w:right w:val="single" w:sz="4" w:space="0" w:color="auto"/>
            </w:tcBorders>
            <w:vAlign w:val="center"/>
          </w:tcPr>
          <w:p w14:paraId="6EFA5807" w14:textId="77777777" w:rsidR="009A5A84" w:rsidRDefault="009A5A84" w:rsidP="009A5A84">
            <w:pPr>
              <w:spacing w:line="300" w:lineRule="auto"/>
              <w:jc w:val="left"/>
              <w:rPr>
                <w:rFonts w:ascii="宋体" w:eastAsia="宋体" w:hAnsi="宋体" w:hint="eastAsia"/>
                <w:kern w:val="0"/>
                <w:szCs w:val="21"/>
              </w:rPr>
            </w:pPr>
            <w:r>
              <w:rPr>
                <w:rFonts w:ascii="宋体" w:eastAsia="宋体" w:hAnsi="宋体" w:hint="eastAsia"/>
                <w:kern w:val="0"/>
                <w:szCs w:val="21"/>
              </w:rPr>
              <w:t>存货跌价损失</w:t>
            </w:r>
          </w:p>
        </w:tc>
        <w:tc>
          <w:tcPr>
            <w:tcW w:w="2999" w:type="dxa"/>
            <w:tcBorders>
              <w:top w:val="single" w:sz="4" w:space="0" w:color="auto"/>
              <w:left w:val="single" w:sz="4" w:space="0" w:color="auto"/>
              <w:bottom w:val="single" w:sz="4" w:space="0" w:color="auto"/>
              <w:right w:val="single" w:sz="4" w:space="0" w:color="auto"/>
            </w:tcBorders>
          </w:tcPr>
          <w:p w14:paraId="150FFA42" w14:textId="1DFE97CD" w:rsidR="009A5A84" w:rsidRPr="00536E0B" w:rsidRDefault="00BA36AB" w:rsidP="009A5A84">
            <w:pPr>
              <w:spacing w:line="300" w:lineRule="auto"/>
              <w:jc w:val="right"/>
              <w:rPr>
                <w:rFonts w:ascii="宋体" w:eastAsia="宋体" w:hAnsi="宋体" w:hint="eastAsia"/>
                <w:kern w:val="0"/>
                <w:szCs w:val="21"/>
              </w:rPr>
            </w:pPr>
            <w:r w:rsidRPr="00BA36AB">
              <w:rPr>
                <w:rFonts w:ascii="宋体" w:eastAsia="宋体" w:hAnsi="宋体"/>
                <w:kern w:val="0"/>
                <w:szCs w:val="21"/>
              </w:rPr>
              <w:t>4,948,999.86</w:t>
            </w:r>
          </w:p>
        </w:tc>
      </w:tr>
      <w:tr w:rsidR="009A5A84" w:rsidRPr="00536E0B" w14:paraId="4832DE4C" w14:textId="77777777" w:rsidTr="009A5A84">
        <w:tc>
          <w:tcPr>
            <w:tcW w:w="1993" w:type="dxa"/>
            <w:vMerge/>
            <w:tcBorders>
              <w:left w:val="single" w:sz="4" w:space="0" w:color="auto"/>
              <w:right w:val="single" w:sz="4" w:space="0" w:color="auto"/>
            </w:tcBorders>
            <w:vAlign w:val="center"/>
          </w:tcPr>
          <w:p w14:paraId="29EB4105" w14:textId="77777777" w:rsidR="009A5A84" w:rsidRDefault="009A5A84" w:rsidP="009A5A84">
            <w:pPr>
              <w:spacing w:line="300" w:lineRule="auto"/>
              <w:ind w:firstLineChars="200" w:firstLine="420"/>
              <w:jc w:val="center"/>
              <w:rPr>
                <w:rFonts w:ascii="宋体" w:eastAsia="宋体" w:hAnsi="宋体" w:hint="eastAsia"/>
                <w:kern w:val="0"/>
                <w:szCs w:val="21"/>
              </w:rPr>
            </w:pPr>
          </w:p>
        </w:tc>
        <w:tc>
          <w:tcPr>
            <w:tcW w:w="3372" w:type="dxa"/>
            <w:tcBorders>
              <w:top w:val="single" w:sz="4" w:space="0" w:color="auto"/>
              <w:left w:val="single" w:sz="4" w:space="0" w:color="auto"/>
              <w:bottom w:val="single" w:sz="4" w:space="0" w:color="auto"/>
              <w:right w:val="single" w:sz="4" w:space="0" w:color="auto"/>
            </w:tcBorders>
            <w:vAlign w:val="center"/>
          </w:tcPr>
          <w:p w14:paraId="412A18D6" w14:textId="77777777" w:rsidR="009A5A84" w:rsidRDefault="009A5A84" w:rsidP="009A5A84">
            <w:pPr>
              <w:spacing w:line="300" w:lineRule="auto"/>
              <w:jc w:val="left"/>
              <w:rPr>
                <w:rFonts w:ascii="宋体" w:eastAsia="宋体" w:hAnsi="宋体" w:hint="eastAsia"/>
                <w:kern w:val="0"/>
                <w:szCs w:val="21"/>
              </w:rPr>
            </w:pPr>
            <w:r>
              <w:rPr>
                <w:rFonts w:ascii="宋体" w:eastAsia="宋体" w:hAnsi="宋体" w:hint="eastAsia"/>
                <w:kern w:val="0"/>
                <w:szCs w:val="21"/>
              </w:rPr>
              <w:t>合同资产减值损失</w:t>
            </w:r>
          </w:p>
        </w:tc>
        <w:tc>
          <w:tcPr>
            <w:tcW w:w="2999" w:type="dxa"/>
            <w:tcBorders>
              <w:top w:val="single" w:sz="4" w:space="0" w:color="auto"/>
              <w:left w:val="single" w:sz="4" w:space="0" w:color="auto"/>
              <w:bottom w:val="single" w:sz="4" w:space="0" w:color="auto"/>
              <w:right w:val="single" w:sz="4" w:space="0" w:color="auto"/>
            </w:tcBorders>
          </w:tcPr>
          <w:p w14:paraId="0707902E" w14:textId="3E58CBEE" w:rsidR="009A5A84" w:rsidRPr="00536E0B" w:rsidRDefault="000C7CAD" w:rsidP="009A5A84">
            <w:pPr>
              <w:spacing w:line="300" w:lineRule="auto"/>
              <w:jc w:val="right"/>
              <w:rPr>
                <w:rFonts w:ascii="宋体" w:eastAsia="宋体" w:hAnsi="宋体" w:hint="eastAsia"/>
                <w:kern w:val="0"/>
                <w:szCs w:val="21"/>
              </w:rPr>
            </w:pPr>
            <w:r w:rsidRPr="00536E0B">
              <w:rPr>
                <w:rFonts w:ascii="宋体" w:eastAsia="宋体" w:hAnsi="宋体"/>
                <w:kern w:val="0"/>
                <w:szCs w:val="21"/>
              </w:rPr>
              <w:t>-471,024.86</w:t>
            </w:r>
          </w:p>
        </w:tc>
      </w:tr>
      <w:tr w:rsidR="009A5A84" w:rsidRPr="00536E0B" w14:paraId="4060212E" w14:textId="77777777" w:rsidTr="009A5A84">
        <w:tc>
          <w:tcPr>
            <w:tcW w:w="0" w:type="auto"/>
            <w:vMerge/>
            <w:tcBorders>
              <w:left w:val="single" w:sz="4" w:space="0" w:color="auto"/>
              <w:bottom w:val="single" w:sz="4" w:space="0" w:color="auto"/>
              <w:right w:val="single" w:sz="4" w:space="0" w:color="auto"/>
            </w:tcBorders>
            <w:vAlign w:val="center"/>
          </w:tcPr>
          <w:p w14:paraId="6286DC2E" w14:textId="77777777" w:rsidR="009A5A84" w:rsidRDefault="009A5A84" w:rsidP="009A5A84">
            <w:pPr>
              <w:widowControl/>
              <w:jc w:val="left"/>
              <w:rPr>
                <w:rFonts w:ascii="宋体" w:eastAsia="宋体" w:hAnsi="宋体" w:hint="eastAsia"/>
                <w:kern w:val="0"/>
                <w:szCs w:val="21"/>
              </w:rPr>
            </w:pPr>
          </w:p>
        </w:tc>
        <w:tc>
          <w:tcPr>
            <w:tcW w:w="3372" w:type="dxa"/>
            <w:tcBorders>
              <w:top w:val="single" w:sz="4" w:space="0" w:color="auto"/>
              <w:left w:val="single" w:sz="4" w:space="0" w:color="auto"/>
              <w:bottom w:val="single" w:sz="4" w:space="0" w:color="auto"/>
              <w:right w:val="single" w:sz="4" w:space="0" w:color="auto"/>
            </w:tcBorders>
            <w:vAlign w:val="center"/>
          </w:tcPr>
          <w:p w14:paraId="6AB9B0FE" w14:textId="77777777" w:rsidR="009A5A84" w:rsidRDefault="009A5A84" w:rsidP="009A5A84">
            <w:pPr>
              <w:spacing w:line="300" w:lineRule="auto"/>
              <w:jc w:val="left"/>
              <w:rPr>
                <w:rFonts w:ascii="宋体" w:eastAsia="宋体" w:hAnsi="宋体" w:hint="eastAsia"/>
                <w:kern w:val="0"/>
                <w:szCs w:val="21"/>
              </w:rPr>
            </w:pPr>
            <w:r>
              <w:rPr>
                <w:rFonts w:ascii="宋体" w:eastAsia="宋体" w:hAnsi="宋体" w:hint="eastAsia"/>
                <w:kern w:val="0"/>
                <w:szCs w:val="21"/>
              </w:rPr>
              <w:t>其他非流动资产减值损失</w:t>
            </w:r>
          </w:p>
        </w:tc>
        <w:tc>
          <w:tcPr>
            <w:tcW w:w="2999" w:type="dxa"/>
            <w:tcBorders>
              <w:top w:val="single" w:sz="4" w:space="0" w:color="auto"/>
              <w:left w:val="single" w:sz="4" w:space="0" w:color="auto"/>
              <w:bottom w:val="single" w:sz="4" w:space="0" w:color="auto"/>
              <w:right w:val="single" w:sz="4" w:space="0" w:color="auto"/>
            </w:tcBorders>
          </w:tcPr>
          <w:p w14:paraId="70C7E9C5" w14:textId="0E6295AA" w:rsidR="009A5A84" w:rsidRPr="00536E0B" w:rsidRDefault="000C7CAD" w:rsidP="009A5A84">
            <w:pPr>
              <w:spacing w:line="300" w:lineRule="auto"/>
              <w:jc w:val="right"/>
              <w:rPr>
                <w:rFonts w:ascii="宋体" w:eastAsia="宋体" w:hAnsi="宋体" w:hint="eastAsia"/>
                <w:kern w:val="0"/>
                <w:szCs w:val="21"/>
              </w:rPr>
            </w:pPr>
            <w:r w:rsidRPr="00536E0B">
              <w:rPr>
                <w:rFonts w:ascii="宋体" w:eastAsia="宋体" w:hAnsi="宋体"/>
                <w:kern w:val="0"/>
                <w:szCs w:val="21"/>
              </w:rPr>
              <w:t>161,520.50</w:t>
            </w:r>
          </w:p>
        </w:tc>
      </w:tr>
      <w:tr w:rsidR="009A5A84" w:rsidRPr="00536E0B" w14:paraId="7DF54962" w14:textId="77777777" w:rsidTr="009A5A84">
        <w:tc>
          <w:tcPr>
            <w:tcW w:w="5365" w:type="dxa"/>
            <w:gridSpan w:val="2"/>
            <w:tcBorders>
              <w:top w:val="single" w:sz="4" w:space="0" w:color="auto"/>
              <w:left w:val="single" w:sz="4" w:space="0" w:color="auto"/>
              <w:bottom w:val="single" w:sz="4" w:space="0" w:color="auto"/>
              <w:right w:val="single" w:sz="4" w:space="0" w:color="auto"/>
            </w:tcBorders>
            <w:vAlign w:val="center"/>
          </w:tcPr>
          <w:p w14:paraId="42E5A9DE" w14:textId="77777777" w:rsidR="009A5A84" w:rsidRDefault="009A5A84" w:rsidP="009A5A84">
            <w:pPr>
              <w:spacing w:line="300" w:lineRule="auto"/>
              <w:jc w:val="center"/>
              <w:rPr>
                <w:rFonts w:ascii="宋体" w:eastAsia="宋体" w:hAnsi="宋体" w:hint="eastAsia"/>
                <w:b/>
                <w:kern w:val="0"/>
                <w:szCs w:val="21"/>
              </w:rPr>
            </w:pPr>
            <w:r>
              <w:rPr>
                <w:rFonts w:ascii="宋体" w:eastAsia="宋体" w:hAnsi="宋体" w:hint="eastAsia"/>
                <w:b/>
                <w:kern w:val="0"/>
                <w:szCs w:val="21"/>
              </w:rPr>
              <w:t>合计</w:t>
            </w:r>
          </w:p>
        </w:tc>
        <w:tc>
          <w:tcPr>
            <w:tcW w:w="2999" w:type="dxa"/>
            <w:tcBorders>
              <w:top w:val="single" w:sz="4" w:space="0" w:color="auto"/>
              <w:left w:val="single" w:sz="4" w:space="0" w:color="auto"/>
              <w:bottom w:val="single" w:sz="4" w:space="0" w:color="auto"/>
              <w:right w:val="single" w:sz="4" w:space="0" w:color="auto"/>
            </w:tcBorders>
            <w:vAlign w:val="center"/>
          </w:tcPr>
          <w:p w14:paraId="7FB28069" w14:textId="591396CC" w:rsidR="009A5A84" w:rsidRPr="00536E0B" w:rsidRDefault="00BA36AB" w:rsidP="009A5A84">
            <w:pPr>
              <w:widowControl/>
              <w:ind w:firstLineChars="200" w:firstLine="420"/>
              <w:jc w:val="right"/>
              <w:rPr>
                <w:rFonts w:ascii="宋体" w:eastAsia="宋体" w:hAnsi="宋体" w:hint="eastAsia"/>
                <w:kern w:val="0"/>
                <w:szCs w:val="21"/>
              </w:rPr>
            </w:pPr>
            <w:r w:rsidRPr="00BA36AB">
              <w:rPr>
                <w:rFonts w:ascii="宋体" w:eastAsia="宋体" w:hAnsi="宋体"/>
                <w:kern w:val="0"/>
                <w:szCs w:val="21"/>
              </w:rPr>
              <w:t>9,976,693.09</w:t>
            </w:r>
          </w:p>
        </w:tc>
      </w:tr>
    </w:tbl>
    <w:p w14:paraId="460D1D93" w14:textId="77777777" w:rsidR="009B4A9B" w:rsidRDefault="000E3350">
      <w:pPr>
        <w:spacing w:line="360" w:lineRule="auto"/>
        <w:ind w:firstLine="420"/>
        <w:jc w:val="left"/>
        <w:rPr>
          <w:rFonts w:ascii="宋体" w:eastAsia="宋体" w:hAnsi="宋体" w:cs="Times New Roman" w:hint="eastAsia"/>
          <w:b/>
          <w:kern w:val="0"/>
          <w:sz w:val="24"/>
          <w:szCs w:val="24"/>
        </w:rPr>
      </w:pPr>
      <w:r>
        <w:rPr>
          <w:rFonts w:ascii="宋体" w:eastAsia="宋体" w:hAnsi="宋体" w:cs="Times New Roman"/>
          <w:b/>
          <w:kern w:val="0"/>
          <w:sz w:val="24"/>
          <w:szCs w:val="24"/>
        </w:rPr>
        <w:t>二、</w:t>
      </w:r>
      <w:r>
        <w:rPr>
          <w:rFonts w:ascii="宋体" w:eastAsia="宋体" w:hAnsi="宋体" w:cs="Times New Roman" w:hint="eastAsia"/>
          <w:b/>
          <w:kern w:val="0"/>
          <w:sz w:val="24"/>
          <w:szCs w:val="24"/>
        </w:rPr>
        <w:t>本次计提信用及资产减值准备的具体说明</w:t>
      </w:r>
    </w:p>
    <w:p w14:paraId="00347CAE" w14:textId="77777777" w:rsidR="009B4A9B" w:rsidRDefault="000E3350">
      <w:pPr>
        <w:spacing w:line="360" w:lineRule="auto"/>
        <w:ind w:firstLineChars="200" w:firstLine="480"/>
        <w:rPr>
          <w:rFonts w:ascii="宋体" w:eastAsia="宋体" w:hAnsi="宋体" w:cs="Times New Roman" w:hint="eastAsia"/>
          <w:kern w:val="0"/>
          <w:sz w:val="24"/>
          <w:szCs w:val="24"/>
        </w:rPr>
      </w:pPr>
      <w:r>
        <w:rPr>
          <w:rFonts w:ascii="宋体" w:eastAsia="宋体" w:hAnsi="宋体" w:cs="Times New Roman" w:hint="eastAsia"/>
          <w:kern w:val="0"/>
          <w:sz w:val="24"/>
          <w:szCs w:val="24"/>
        </w:rPr>
        <w:t>1、信用减值损失</w:t>
      </w:r>
    </w:p>
    <w:p w14:paraId="789FBE61" w14:textId="77777777" w:rsidR="009B4A9B" w:rsidRDefault="000E3350">
      <w:pPr>
        <w:adjustRightInd w:val="0"/>
        <w:spacing w:line="360" w:lineRule="auto"/>
        <w:ind w:firstLineChars="200" w:firstLine="480"/>
        <w:textAlignment w:val="baseline"/>
        <w:rPr>
          <w:rFonts w:ascii="宋体" w:eastAsia="宋体" w:hAnsi="宋体" w:cs="Times New Roman" w:hint="eastAsia"/>
          <w:kern w:val="0"/>
          <w:sz w:val="24"/>
          <w:szCs w:val="24"/>
        </w:rPr>
      </w:pPr>
      <w:r>
        <w:rPr>
          <w:rFonts w:ascii="宋体" w:eastAsia="宋体" w:hAnsi="宋体" w:cs="Times New Roman" w:hint="eastAsia"/>
          <w:kern w:val="0"/>
          <w:sz w:val="24"/>
          <w:szCs w:val="24"/>
        </w:rPr>
        <w:t>报告期末，公司参考历史信用损失经验，结合当前状况以及对未来经济状况的判断，根据信用风险特征以单项金融工具或金融工具组合为基础评估预期信用风险和计量预期信用损失。当以金融工具组合为基础时，公司以共同风险特征为依据，将金融工具划分为不同组合。</w:t>
      </w:r>
    </w:p>
    <w:p w14:paraId="23577EA9" w14:textId="39B6029B" w:rsidR="009B4A9B" w:rsidRPr="00C05EFA" w:rsidRDefault="000E3350">
      <w:pPr>
        <w:adjustRightInd w:val="0"/>
        <w:spacing w:line="360" w:lineRule="auto"/>
        <w:ind w:firstLineChars="200" w:firstLine="480"/>
        <w:textAlignment w:val="baseline"/>
        <w:rPr>
          <w:rFonts w:ascii="宋体" w:eastAsia="宋体" w:hAnsi="宋体" w:cs="Times New Roman" w:hint="eastAsia"/>
          <w:kern w:val="0"/>
          <w:sz w:val="24"/>
          <w:szCs w:val="24"/>
        </w:rPr>
      </w:pPr>
      <w:r>
        <w:rPr>
          <w:rFonts w:ascii="宋体" w:eastAsia="宋体" w:hAnsi="宋体" w:cs="Times New Roman" w:hint="eastAsia"/>
          <w:kern w:val="0"/>
          <w:sz w:val="24"/>
          <w:szCs w:val="24"/>
        </w:rPr>
        <w:t>公司本次计提信用减值损失主要为应收账款、应收票据和其他应收款。202</w:t>
      </w:r>
      <w:r w:rsidR="00C3264B">
        <w:rPr>
          <w:rFonts w:ascii="宋体" w:eastAsia="宋体" w:hAnsi="宋体" w:cs="Times New Roman"/>
          <w:kern w:val="0"/>
          <w:sz w:val="24"/>
          <w:szCs w:val="24"/>
        </w:rPr>
        <w:t>6</w:t>
      </w:r>
      <w:r>
        <w:rPr>
          <w:rFonts w:ascii="宋体" w:eastAsia="宋体" w:hAnsi="宋体" w:cs="Times New Roman" w:hint="eastAsia"/>
          <w:kern w:val="0"/>
          <w:sz w:val="24"/>
          <w:szCs w:val="24"/>
        </w:rPr>
        <w:t>年6月30日，公司计提信用减值损失共</w:t>
      </w:r>
      <w:r w:rsidRPr="00C05EFA">
        <w:rPr>
          <w:rFonts w:ascii="宋体" w:eastAsia="宋体" w:hAnsi="宋体" w:cs="Times New Roman" w:hint="eastAsia"/>
          <w:kern w:val="0"/>
          <w:sz w:val="24"/>
          <w:szCs w:val="24"/>
        </w:rPr>
        <w:t>计</w:t>
      </w:r>
      <w:r w:rsidR="00BA36AB" w:rsidRPr="00BA36AB">
        <w:rPr>
          <w:rFonts w:ascii="宋体" w:eastAsia="宋体" w:hAnsi="宋体" w:cs="Times New Roman"/>
          <w:kern w:val="0"/>
          <w:sz w:val="24"/>
          <w:szCs w:val="24"/>
        </w:rPr>
        <w:t>5,337,197.59</w:t>
      </w:r>
      <w:r w:rsidRPr="00C05EFA">
        <w:rPr>
          <w:rFonts w:ascii="宋体" w:eastAsia="宋体" w:hAnsi="宋体" w:cs="Times New Roman" w:hint="eastAsia"/>
          <w:kern w:val="0"/>
          <w:sz w:val="24"/>
          <w:szCs w:val="24"/>
        </w:rPr>
        <w:t>元，具体明细如下：</w:t>
      </w:r>
    </w:p>
    <w:tbl>
      <w:tblPr>
        <w:tblStyle w:val="2"/>
        <w:tblW w:w="5041" w:type="pct"/>
        <w:tblInd w:w="-5" w:type="dxa"/>
        <w:tblLook w:val="04A0" w:firstRow="1" w:lastRow="0" w:firstColumn="1" w:lastColumn="0" w:noHBand="0" w:noVBand="1"/>
      </w:tblPr>
      <w:tblGrid>
        <w:gridCol w:w="1986"/>
        <w:gridCol w:w="3401"/>
        <w:gridCol w:w="2977"/>
      </w:tblGrid>
      <w:tr w:rsidR="009B4A9B" w:rsidRPr="00C05EFA" w14:paraId="23F8A540" w14:textId="77777777">
        <w:tc>
          <w:tcPr>
            <w:tcW w:w="19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A2DF26" w14:textId="77777777" w:rsidR="009B4A9B" w:rsidRPr="00C05EFA" w:rsidRDefault="000E3350">
            <w:pPr>
              <w:spacing w:line="300" w:lineRule="auto"/>
              <w:ind w:firstLineChars="200" w:firstLine="422"/>
              <w:jc w:val="center"/>
              <w:rPr>
                <w:rFonts w:ascii="宋体" w:eastAsia="宋体" w:hAnsi="宋体" w:hint="eastAsia"/>
                <w:b/>
                <w:kern w:val="0"/>
                <w:szCs w:val="21"/>
              </w:rPr>
            </w:pPr>
            <w:r w:rsidRPr="00C05EFA">
              <w:rPr>
                <w:rFonts w:ascii="宋体" w:eastAsia="宋体" w:hAnsi="宋体" w:hint="eastAsia"/>
                <w:b/>
                <w:kern w:val="0"/>
                <w:szCs w:val="21"/>
              </w:rPr>
              <w:t>类别</w:t>
            </w:r>
          </w:p>
        </w:tc>
        <w:tc>
          <w:tcPr>
            <w:tcW w:w="3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7B920" w14:textId="77777777" w:rsidR="009B4A9B" w:rsidRPr="00C05EFA" w:rsidRDefault="000E3350">
            <w:pPr>
              <w:spacing w:line="300" w:lineRule="auto"/>
              <w:jc w:val="center"/>
              <w:rPr>
                <w:rFonts w:ascii="宋体" w:eastAsia="宋体" w:hAnsi="宋体" w:hint="eastAsia"/>
                <w:b/>
                <w:kern w:val="0"/>
                <w:szCs w:val="21"/>
              </w:rPr>
            </w:pPr>
            <w:r w:rsidRPr="00C05EFA">
              <w:rPr>
                <w:rFonts w:ascii="宋体" w:eastAsia="宋体" w:hAnsi="宋体" w:hint="eastAsia"/>
                <w:b/>
                <w:kern w:val="0"/>
                <w:szCs w:val="21"/>
              </w:rPr>
              <w:t>项目</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65F870" w14:textId="77777777" w:rsidR="009B4A9B" w:rsidRPr="00C05EFA" w:rsidRDefault="000E3350">
            <w:pPr>
              <w:spacing w:line="300" w:lineRule="auto"/>
              <w:jc w:val="center"/>
              <w:rPr>
                <w:rFonts w:ascii="宋体" w:eastAsia="宋体" w:hAnsi="宋体" w:hint="eastAsia"/>
                <w:b/>
                <w:kern w:val="0"/>
                <w:szCs w:val="21"/>
              </w:rPr>
            </w:pPr>
            <w:r w:rsidRPr="00C05EFA">
              <w:rPr>
                <w:rFonts w:ascii="宋体" w:eastAsia="宋体" w:hAnsi="宋体" w:hint="eastAsia"/>
                <w:b/>
                <w:kern w:val="0"/>
                <w:szCs w:val="21"/>
              </w:rPr>
              <w:t>本期计提（元）</w:t>
            </w:r>
          </w:p>
        </w:tc>
      </w:tr>
      <w:tr w:rsidR="00C05EFA" w:rsidRPr="00C05EFA" w14:paraId="7361FB1D" w14:textId="77777777">
        <w:tc>
          <w:tcPr>
            <w:tcW w:w="1986" w:type="dxa"/>
            <w:vMerge w:val="restart"/>
            <w:tcBorders>
              <w:top w:val="single" w:sz="4" w:space="0" w:color="auto"/>
              <w:left w:val="single" w:sz="4" w:space="0" w:color="auto"/>
              <w:bottom w:val="single" w:sz="4" w:space="0" w:color="auto"/>
              <w:right w:val="single" w:sz="4" w:space="0" w:color="auto"/>
            </w:tcBorders>
            <w:vAlign w:val="center"/>
          </w:tcPr>
          <w:p w14:paraId="14E84372" w14:textId="77777777" w:rsidR="00C05EFA" w:rsidRPr="00C05EFA" w:rsidRDefault="00C05EFA" w:rsidP="00C05EFA">
            <w:pPr>
              <w:spacing w:line="300" w:lineRule="auto"/>
              <w:jc w:val="center"/>
              <w:rPr>
                <w:rFonts w:ascii="宋体" w:eastAsia="宋体" w:hAnsi="宋体" w:hint="eastAsia"/>
                <w:kern w:val="0"/>
                <w:szCs w:val="21"/>
              </w:rPr>
            </w:pPr>
            <w:r w:rsidRPr="00C05EFA">
              <w:rPr>
                <w:rFonts w:ascii="宋体" w:eastAsia="宋体" w:hAnsi="宋体" w:hint="eastAsia"/>
                <w:kern w:val="0"/>
                <w:szCs w:val="21"/>
              </w:rPr>
              <w:t>信用减值损失</w:t>
            </w:r>
          </w:p>
        </w:tc>
        <w:tc>
          <w:tcPr>
            <w:tcW w:w="3401" w:type="dxa"/>
            <w:tcBorders>
              <w:top w:val="single" w:sz="4" w:space="0" w:color="auto"/>
              <w:left w:val="single" w:sz="4" w:space="0" w:color="auto"/>
              <w:bottom w:val="single" w:sz="4" w:space="0" w:color="auto"/>
              <w:right w:val="single" w:sz="4" w:space="0" w:color="auto"/>
            </w:tcBorders>
            <w:vAlign w:val="center"/>
          </w:tcPr>
          <w:p w14:paraId="2D7032EC" w14:textId="77777777" w:rsidR="00C05EFA" w:rsidRPr="00C05EFA" w:rsidRDefault="00C05EFA" w:rsidP="00C05EFA">
            <w:pPr>
              <w:spacing w:line="300" w:lineRule="auto"/>
              <w:jc w:val="left"/>
              <w:rPr>
                <w:rFonts w:ascii="宋体" w:eastAsia="宋体" w:hAnsi="宋体" w:hint="eastAsia"/>
                <w:kern w:val="0"/>
                <w:szCs w:val="21"/>
              </w:rPr>
            </w:pPr>
            <w:r w:rsidRPr="00C05EFA">
              <w:rPr>
                <w:rFonts w:ascii="宋体" w:eastAsia="宋体" w:hAnsi="宋体" w:hint="eastAsia"/>
                <w:kern w:val="0"/>
                <w:szCs w:val="21"/>
              </w:rPr>
              <w:t>应收票据坏账损失</w:t>
            </w:r>
          </w:p>
        </w:tc>
        <w:tc>
          <w:tcPr>
            <w:tcW w:w="2977" w:type="dxa"/>
            <w:tcBorders>
              <w:top w:val="single" w:sz="4" w:space="0" w:color="auto"/>
              <w:left w:val="single" w:sz="4" w:space="0" w:color="auto"/>
              <w:bottom w:val="single" w:sz="4" w:space="0" w:color="auto"/>
              <w:right w:val="single" w:sz="4" w:space="0" w:color="auto"/>
            </w:tcBorders>
            <w:vAlign w:val="center"/>
          </w:tcPr>
          <w:p w14:paraId="445E5EA7" w14:textId="248F6D55" w:rsidR="00C05EFA" w:rsidRPr="00C05EFA" w:rsidRDefault="00C05EFA" w:rsidP="00C05EFA">
            <w:pPr>
              <w:spacing w:line="300" w:lineRule="auto"/>
              <w:jc w:val="right"/>
              <w:rPr>
                <w:rFonts w:ascii="宋体" w:eastAsia="宋体" w:hAnsi="宋体" w:hint="eastAsia"/>
                <w:kern w:val="0"/>
                <w:szCs w:val="21"/>
              </w:rPr>
            </w:pPr>
            <w:r w:rsidRPr="00C05EFA">
              <w:rPr>
                <w:rFonts w:ascii="宋体" w:eastAsia="宋体" w:hAnsi="宋体"/>
                <w:kern w:val="0"/>
                <w:szCs w:val="21"/>
              </w:rPr>
              <w:t xml:space="preserve">402,430.14 </w:t>
            </w:r>
            <w:r w:rsidRPr="00C05EFA">
              <w:rPr>
                <w:rFonts w:ascii="宋体" w:eastAsia="宋体" w:hAnsi="宋体" w:hint="eastAsia"/>
                <w:kern w:val="0"/>
                <w:szCs w:val="21"/>
              </w:rPr>
              <w:t xml:space="preserve">  </w:t>
            </w:r>
          </w:p>
        </w:tc>
      </w:tr>
      <w:tr w:rsidR="00C05EFA" w:rsidRPr="00C05EFA" w14:paraId="7246E086" w14:textId="77777777" w:rsidTr="000F5F01">
        <w:tc>
          <w:tcPr>
            <w:tcW w:w="0" w:type="auto"/>
            <w:vMerge/>
            <w:tcBorders>
              <w:top w:val="single" w:sz="4" w:space="0" w:color="auto"/>
              <w:left w:val="single" w:sz="4" w:space="0" w:color="auto"/>
              <w:bottom w:val="single" w:sz="4" w:space="0" w:color="auto"/>
              <w:right w:val="single" w:sz="4" w:space="0" w:color="auto"/>
            </w:tcBorders>
            <w:vAlign w:val="center"/>
          </w:tcPr>
          <w:p w14:paraId="10EB8E8F" w14:textId="77777777" w:rsidR="00C05EFA" w:rsidRPr="00C05EFA" w:rsidRDefault="00C05EFA" w:rsidP="00C05EFA">
            <w:pPr>
              <w:widowControl/>
              <w:jc w:val="left"/>
              <w:rPr>
                <w:rFonts w:ascii="宋体" w:eastAsia="宋体" w:hAnsi="宋体" w:hint="eastAsia"/>
                <w:kern w:val="0"/>
                <w:szCs w:val="21"/>
              </w:rPr>
            </w:pPr>
          </w:p>
        </w:tc>
        <w:tc>
          <w:tcPr>
            <w:tcW w:w="3401" w:type="dxa"/>
            <w:tcBorders>
              <w:top w:val="single" w:sz="4" w:space="0" w:color="auto"/>
              <w:left w:val="single" w:sz="4" w:space="0" w:color="auto"/>
              <w:bottom w:val="single" w:sz="4" w:space="0" w:color="auto"/>
              <w:right w:val="single" w:sz="4" w:space="0" w:color="auto"/>
            </w:tcBorders>
            <w:vAlign w:val="center"/>
          </w:tcPr>
          <w:p w14:paraId="37C8C3B7" w14:textId="77777777" w:rsidR="00C05EFA" w:rsidRPr="00C05EFA" w:rsidRDefault="00C05EFA" w:rsidP="00C05EFA">
            <w:pPr>
              <w:spacing w:line="300" w:lineRule="auto"/>
              <w:jc w:val="left"/>
              <w:rPr>
                <w:rFonts w:ascii="宋体" w:eastAsia="宋体" w:hAnsi="宋体" w:hint="eastAsia"/>
                <w:kern w:val="0"/>
                <w:szCs w:val="21"/>
              </w:rPr>
            </w:pPr>
            <w:r w:rsidRPr="00C05EFA">
              <w:rPr>
                <w:rFonts w:ascii="宋体" w:eastAsia="宋体" w:hAnsi="宋体" w:hint="eastAsia"/>
                <w:kern w:val="0"/>
                <w:szCs w:val="21"/>
              </w:rPr>
              <w:t>应收账款坏账损失</w:t>
            </w:r>
          </w:p>
        </w:tc>
        <w:tc>
          <w:tcPr>
            <w:tcW w:w="2977" w:type="dxa"/>
            <w:tcBorders>
              <w:top w:val="single" w:sz="4" w:space="0" w:color="auto"/>
              <w:left w:val="single" w:sz="4" w:space="0" w:color="auto"/>
              <w:bottom w:val="single" w:sz="4" w:space="0" w:color="auto"/>
              <w:right w:val="single" w:sz="4" w:space="0" w:color="auto"/>
            </w:tcBorders>
            <w:vAlign w:val="center"/>
          </w:tcPr>
          <w:p w14:paraId="2C090D10" w14:textId="2530382E" w:rsidR="00C05EFA" w:rsidRPr="00C05EFA" w:rsidRDefault="00C05EFA" w:rsidP="00C05EFA">
            <w:pPr>
              <w:spacing w:line="300" w:lineRule="auto"/>
              <w:jc w:val="right"/>
              <w:rPr>
                <w:rFonts w:ascii="宋体" w:eastAsia="宋体" w:hAnsi="宋体" w:hint="eastAsia"/>
                <w:kern w:val="0"/>
                <w:szCs w:val="21"/>
              </w:rPr>
            </w:pPr>
            <w:r w:rsidRPr="00C05EFA">
              <w:rPr>
                <w:rFonts w:ascii="宋体" w:eastAsia="宋体" w:hAnsi="宋体"/>
                <w:kern w:val="0"/>
                <w:szCs w:val="21"/>
              </w:rPr>
              <w:t>8,607,363.64</w:t>
            </w:r>
            <w:r w:rsidRPr="00C05EFA">
              <w:rPr>
                <w:rFonts w:ascii="宋体" w:eastAsia="宋体" w:hAnsi="宋体" w:hint="eastAsia"/>
                <w:kern w:val="0"/>
                <w:szCs w:val="21"/>
              </w:rPr>
              <w:t xml:space="preserve">  </w:t>
            </w:r>
          </w:p>
        </w:tc>
      </w:tr>
      <w:tr w:rsidR="00C05EFA" w:rsidRPr="00C05EFA" w14:paraId="34619B39" w14:textId="77777777" w:rsidTr="006F7F3E">
        <w:tc>
          <w:tcPr>
            <w:tcW w:w="0" w:type="auto"/>
            <w:vMerge/>
            <w:tcBorders>
              <w:top w:val="single" w:sz="4" w:space="0" w:color="auto"/>
              <w:left w:val="single" w:sz="4" w:space="0" w:color="auto"/>
              <w:bottom w:val="single" w:sz="4" w:space="0" w:color="auto"/>
              <w:right w:val="single" w:sz="4" w:space="0" w:color="auto"/>
            </w:tcBorders>
            <w:vAlign w:val="center"/>
          </w:tcPr>
          <w:p w14:paraId="242059FC" w14:textId="77777777" w:rsidR="00C05EFA" w:rsidRPr="00C05EFA" w:rsidRDefault="00C05EFA" w:rsidP="00C05EFA">
            <w:pPr>
              <w:widowControl/>
              <w:jc w:val="left"/>
              <w:rPr>
                <w:rFonts w:ascii="宋体" w:eastAsia="宋体" w:hAnsi="宋体" w:hint="eastAsia"/>
                <w:kern w:val="0"/>
                <w:szCs w:val="21"/>
              </w:rPr>
            </w:pPr>
          </w:p>
        </w:tc>
        <w:tc>
          <w:tcPr>
            <w:tcW w:w="3401" w:type="dxa"/>
            <w:tcBorders>
              <w:top w:val="single" w:sz="4" w:space="0" w:color="auto"/>
              <w:left w:val="single" w:sz="4" w:space="0" w:color="auto"/>
              <w:bottom w:val="single" w:sz="4" w:space="0" w:color="auto"/>
              <w:right w:val="single" w:sz="4" w:space="0" w:color="auto"/>
            </w:tcBorders>
            <w:vAlign w:val="center"/>
          </w:tcPr>
          <w:p w14:paraId="0828E235" w14:textId="77777777" w:rsidR="00C05EFA" w:rsidRPr="00C05EFA" w:rsidRDefault="00C05EFA" w:rsidP="00C05EFA">
            <w:pPr>
              <w:spacing w:line="300" w:lineRule="auto"/>
              <w:jc w:val="left"/>
              <w:rPr>
                <w:rFonts w:ascii="宋体" w:eastAsia="宋体" w:hAnsi="宋体" w:hint="eastAsia"/>
                <w:kern w:val="0"/>
                <w:szCs w:val="21"/>
              </w:rPr>
            </w:pPr>
            <w:r w:rsidRPr="00C05EFA">
              <w:rPr>
                <w:rFonts w:ascii="宋体" w:eastAsia="宋体" w:hAnsi="宋体" w:hint="eastAsia"/>
                <w:kern w:val="0"/>
                <w:szCs w:val="21"/>
              </w:rPr>
              <w:t>应收款项融资坏账损失</w:t>
            </w:r>
          </w:p>
        </w:tc>
        <w:tc>
          <w:tcPr>
            <w:tcW w:w="2977" w:type="dxa"/>
            <w:tcBorders>
              <w:top w:val="single" w:sz="4" w:space="0" w:color="auto"/>
              <w:left w:val="single" w:sz="4" w:space="0" w:color="auto"/>
              <w:bottom w:val="single" w:sz="4" w:space="0" w:color="auto"/>
              <w:right w:val="single" w:sz="4" w:space="0" w:color="auto"/>
            </w:tcBorders>
          </w:tcPr>
          <w:p w14:paraId="237AAD93" w14:textId="71FB44CF" w:rsidR="00C05EFA" w:rsidRPr="00C05EFA" w:rsidRDefault="00C05EFA" w:rsidP="00C05EFA">
            <w:pPr>
              <w:spacing w:line="300" w:lineRule="auto"/>
              <w:jc w:val="right"/>
              <w:rPr>
                <w:rFonts w:ascii="宋体" w:eastAsia="宋体" w:hAnsi="宋体" w:hint="eastAsia"/>
                <w:kern w:val="0"/>
                <w:szCs w:val="21"/>
              </w:rPr>
            </w:pPr>
            <w:r w:rsidRPr="00C05EFA">
              <w:rPr>
                <w:rFonts w:ascii="宋体" w:eastAsia="宋体" w:hAnsi="宋体"/>
                <w:kern w:val="0"/>
                <w:szCs w:val="21"/>
              </w:rPr>
              <w:t>-4,232,125.40</w:t>
            </w:r>
          </w:p>
        </w:tc>
      </w:tr>
      <w:tr w:rsidR="00C05EFA" w:rsidRPr="00C05EFA" w14:paraId="34B002B4" w14:textId="77777777" w:rsidTr="006F7F3E">
        <w:tc>
          <w:tcPr>
            <w:tcW w:w="0" w:type="auto"/>
            <w:vMerge/>
            <w:tcBorders>
              <w:top w:val="single" w:sz="4" w:space="0" w:color="auto"/>
              <w:left w:val="single" w:sz="4" w:space="0" w:color="auto"/>
              <w:bottom w:val="single" w:sz="4" w:space="0" w:color="auto"/>
              <w:right w:val="single" w:sz="4" w:space="0" w:color="auto"/>
            </w:tcBorders>
            <w:vAlign w:val="center"/>
          </w:tcPr>
          <w:p w14:paraId="1F8CA3BD" w14:textId="77777777" w:rsidR="00C05EFA" w:rsidRPr="00C05EFA" w:rsidRDefault="00C05EFA" w:rsidP="00C05EFA">
            <w:pPr>
              <w:widowControl/>
              <w:jc w:val="left"/>
              <w:rPr>
                <w:rFonts w:ascii="宋体" w:eastAsia="宋体" w:hAnsi="宋体" w:hint="eastAsia"/>
                <w:kern w:val="0"/>
                <w:szCs w:val="21"/>
              </w:rPr>
            </w:pPr>
          </w:p>
        </w:tc>
        <w:tc>
          <w:tcPr>
            <w:tcW w:w="3401" w:type="dxa"/>
            <w:tcBorders>
              <w:top w:val="single" w:sz="4" w:space="0" w:color="auto"/>
              <w:left w:val="single" w:sz="4" w:space="0" w:color="auto"/>
              <w:bottom w:val="single" w:sz="4" w:space="0" w:color="auto"/>
              <w:right w:val="single" w:sz="4" w:space="0" w:color="auto"/>
            </w:tcBorders>
            <w:vAlign w:val="center"/>
          </w:tcPr>
          <w:p w14:paraId="71724ED1" w14:textId="77777777" w:rsidR="00C05EFA" w:rsidRPr="00C05EFA" w:rsidRDefault="00C05EFA" w:rsidP="00C05EFA">
            <w:pPr>
              <w:spacing w:line="300" w:lineRule="auto"/>
              <w:jc w:val="left"/>
              <w:rPr>
                <w:rFonts w:ascii="宋体" w:eastAsia="宋体" w:hAnsi="宋体" w:hint="eastAsia"/>
                <w:kern w:val="0"/>
                <w:szCs w:val="21"/>
              </w:rPr>
            </w:pPr>
            <w:r w:rsidRPr="00C05EFA">
              <w:rPr>
                <w:rFonts w:ascii="宋体" w:eastAsia="宋体" w:hAnsi="宋体" w:hint="eastAsia"/>
                <w:kern w:val="0"/>
                <w:szCs w:val="21"/>
              </w:rPr>
              <w:t>其他应收款坏账损失</w:t>
            </w:r>
          </w:p>
        </w:tc>
        <w:tc>
          <w:tcPr>
            <w:tcW w:w="2977" w:type="dxa"/>
            <w:tcBorders>
              <w:top w:val="single" w:sz="4" w:space="0" w:color="auto"/>
              <w:left w:val="single" w:sz="4" w:space="0" w:color="auto"/>
              <w:bottom w:val="single" w:sz="4" w:space="0" w:color="auto"/>
              <w:right w:val="single" w:sz="4" w:space="0" w:color="auto"/>
            </w:tcBorders>
          </w:tcPr>
          <w:p w14:paraId="49469ADE" w14:textId="6D2D15BE" w:rsidR="00C05EFA" w:rsidRPr="00C05EFA" w:rsidRDefault="00BA36AB" w:rsidP="00C05EFA">
            <w:pPr>
              <w:spacing w:line="300" w:lineRule="auto"/>
              <w:jc w:val="right"/>
              <w:rPr>
                <w:rFonts w:ascii="宋体" w:eastAsia="宋体" w:hAnsi="宋体" w:hint="eastAsia"/>
                <w:kern w:val="0"/>
                <w:szCs w:val="21"/>
              </w:rPr>
            </w:pPr>
            <w:r w:rsidRPr="00BA36AB">
              <w:rPr>
                <w:rFonts w:ascii="宋体" w:eastAsia="宋体" w:hAnsi="宋体"/>
                <w:kern w:val="0"/>
                <w:szCs w:val="21"/>
              </w:rPr>
              <w:t>559,529.21</w:t>
            </w:r>
          </w:p>
        </w:tc>
      </w:tr>
      <w:tr w:rsidR="000027E3" w14:paraId="7EAC90BB" w14:textId="77777777">
        <w:tc>
          <w:tcPr>
            <w:tcW w:w="5387" w:type="dxa"/>
            <w:gridSpan w:val="2"/>
            <w:tcBorders>
              <w:top w:val="single" w:sz="4" w:space="0" w:color="auto"/>
              <w:left w:val="single" w:sz="4" w:space="0" w:color="auto"/>
              <w:bottom w:val="single" w:sz="4" w:space="0" w:color="auto"/>
              <w:right w:val="single" w:sz="4" w:space="0" w:color="auto"/>
            </w:tcBorders>
            <w:vAlign w:val="center"/>
          </w:tcPr>
          <w:p w14:paraId="5F6474E0" w14:textId="77777777" w:rsidR="000027E3" w:rsidRPr="00C05EFA" w:rsidRDefault="000027E3" w:rsidP="000027E3">
            <w:pPr>
              <w:spacing w:line="300" w:lineRule="auto"/>
              <w:jc w:val="center"/>
              <w:rPr>
                <w:rFonts w:ascii="宋体" w:eastAsia="宋体" w:hAnsi="宋体" w:hint="eastAsia"/>
                <w:b/>
                <w:kern w:val="0"/>
                <w:szCs w:val="21"/>
              </w:rPr>
            </w:pPr>
            <w:r w:rsidRPr="00C05EFA">
              <w:rPr>
                <w:rFonts w:ascii="宋体" w:eastAsia="宋体" w:hAnsi="宋体" w:hint="eastAsia"/>
                <w:b/>
                <w:kern w:val="0"/>
                <w:szCs w:val="21"/>
              </w:rPr>
              <w:t>合计</w:t>
            </w:r>
          </w:p>
        </w:tc>
        <w:tc>
          <w:tcPr>
            <w:tcW w:w="2977" w:type="dxa"/>
            <w:tcBorders>
              <w:top w:val="single" w:sz="4" w:space="0" w:color="auto"/>
              <w:left w:val="single" w:sz="4" w:space="0" w:color="auto"/>
              <w:bottom w:val="single" w:sz="4" w:space="0" w:color="auto"/>
              <w:right w:val="single" w:sz="4" w:space="0" w:color="auto"/>
            </w:tcBorders>
            <w:vAlign w:val="center"/>
          </w:tcPr>
          <w:p w14:paraId="2BE4AC23" w14:textId="1C6655E9" w:rsidR="000027E3" w:rsidRPr="00C05EFA" w:rsidRDefault="00BA36AB" w:rsidP="000027E3">
            <w:pPr>
              <w:widowControl/>
              <w:jc w:val="right"/>
              <w:rPr>
                <w:rFonts w:ascii="宋体" w:eastAsia="宋体" w:hAnsi="宋体" w:hint="eastAsia"/>
                <w:kern w:val="0"/>
                <w:szCs w:val="21"/>
              </w:rPr>
            </w:pPr>
            <w:r w:rsidRPr="00BA36AB">
              <w:rPr>
                <w:rFonts w:ascii="宋体" w:eastAsia="宋体" w:hAnsi="宋体"/>
                <w:kern w:val="0"/>
                <w:szCs w:val="21"/>
              </w:rPr>
              <w:t>5,337,197.59</w:t>
            </w:r>
            <w:r w:rsidR="000C7CAD" w:rsidRPr="00C05EFA">
              <w:rPr>
                <w:rFonts w:ascii="宋体" w:eastAsia="宋体" w:hAnsi="宋体"/>
                <w:kern w:val="0"/>
                <w:szCs w:val="21"/>
              </w:rPr>
              <w:t xml:space="preserve"> </w:t>
            </w:r>
            <w:r w:rsidR="000027E3" w:rsidRPr="00C05EFA">
              <w:rPr>
                <w:rFonts w:ascii="宋体" w:eastAsia="宋体" w:hAnsi="宋体"/>
                <w:kern w:val="0"/>
                <w:szCs w:val="21"/>
              </w:rPr>
              <w:t xml:space="preserve"> </w:t>
            </w:r>
          </w:p>
        </w:tc>
      </w:tr>
    </w:tbl>
    <w:p w14:paraId="3D3943DB" w14:textId="77777777" w:rsidR="009B4A9B" w:rsidRDefault="000E3350">
      <w:pPr>
        <w:spacing w:line="360" w:lineRule="auto"/>
        <w:ind w:firstLineChars="200" w:firstLine="480"/>
        <w:rPr>
          <w:rFonts w:ascii="宋体" w:eastAsia="宋体" w:hAnsi="宋体" w:cs="Times New Roman" w:hint="eastAsia"/>
          <w:kern w:val="0"/>
          <w:sz w:val="24"/>
          <w:szCs w:val="24"/>
        </w:rPr>
      </w:pPr>
      <w:r>
        <w:rPr>
          <w:rFonts w:ascii="宋体" w:eastAsia="宋体" w:hAnsi="宋体" w:cs="Times New Roman" w:hint="eastAsia"/>
          <w:kern w:val="0"/>
          <w:sz w:val="24"/>
          <w:szCs w:val="24"/>
        </w:rPr>
        <w:t>2、存货跌价损失</w:t>
      </w:r>
    </w:p>
    <w:p w14:paraId="58ECEE04" w14:textId="77777777" w:rsidR="009B4A9B" w:rsidRDefault="000E3350">
      <w:pPr>
        <w:spacing w:line="360" w:lineRule="auto"/>
        <w:ind w:firstLineChars="200" w:firstLine="480"/>
        <w:rPr>
          <w:rFonts w:ascii="宋体" w:eastAsia="宋体" w:hAnsi="宋体" w:cs="Times New Roman" w:hint="eastAsia"/>
          <w:kern w:val="0"/>
          <w:sz w:val="24"/>
          <w:szCs w:val="24"/>
        </w:rPr>
      </w:pPr>
      <w:r>
        <w:rPr>
          <w:rFonts w:ascii="宋体" w:eastAsia="宋体" w:hAnsi="宋体" w:cs="Times New Roman" w:hint="eastAsia"/>
          <w:kern w:val="0"/>
          <w:sz w:val="24"/>
          <w:szCs w:val="24"/>
        </w:rPr>
        <w:t>资产负债表日，存货采用成本与可变现净值孰低计量，按照单个存货成本高于可变现净值的差额计提存货跌价准备。直接用于出售的存货，在正常生产经营过程中以该存货的估计售价减去估计的销售费用和相关税费后的金额确定其可变现净值；需要经过加工的存货，在正常生产经营过程中以所生产的产成品的估计售价减去至完工时估计将要发生的成本、估计的销售费用和相关税费后的金额确定其可变现净值；资产负债表日，同一项存货中一部分有合同价格约定、其他部分不存在合同价格的，分别确定其可变现净值，并与其对应的成本进行比较，分别确定存货跌价准备的计提或转回的金额。</w:t>
      </w:r>
    </w:p>
    <w:p w14:paraId="1473F7E8" w14:textId="13F1250E" w:rsidR="009B4A9B" w:rsidRDefault="000E3350">
      <w:pPr>
        <w:spacing w:line="360" w:lineRule="auto"/>
        <w:ind w:firstLineChars="200" w:firstLine="480"/>
        <w:rPr>
          <w:rFonts w:ascii="宋体" w:eastAsia="宋体" w:hAnsi="宋体" w:cs="Times New Roman" w:hint="eastAsia"/>
          <w:kern w:val="0"/>
          <w:sz w:val="24"/>
          <w:szCs w:val="24"/>
        </w:rPr>
      </w:pPr>
      <w:r>
        <w:rPr>
          <w:rFonts w:ascii="宋体" w:eastAsia="宋体" w:hAnsi="宋体" w:cs="Times New Roman" w:hint="eastAsia"/>
          <w:kern w:val="0"/>
          <w:sz w:val="24"/>
          <w:szCs w:val="24"/>
        </w:rPr>
        <w:t>公司对各项存货进行了减值测试，根据测试结果，202</w:t>
      </w:r>
      <w:r w:rsidR="00A4603A">
        <w:rPr>
          <w:rFonts w:ascii="宋体" w:eastAsia="宋体" w:hAnsi="宋体" w:cs="Times New Roman"/>
          <w:kern w:val="0"/>
          <w:sz w:val="24"/>
          <w:szCs w:val="24"/>
        </w:rPr>
        <w:t>6</w:t>
      </w:r>
      <w:r>
        <w:rPr>
          <w:rFonts w:ascii="宋体" w:eastAsia="宋体" w:hAnsi="宋体" w:cs="Times New Roman" w:hint="eastAsia"/>
          <w:kern w:val="0"/>
          <w:sz w:val="24"/>
          <w:szCs w:val="24"/>
        </w:rPr>
        <w:t>年6月30日，公司计提各项存货跌价损</w:t>
      </w:r>
      <w:r w:rsidRPr="00C05EFA">
        <w:rPr>
          <w:rFonts w:ascii="宋体" w:eastAsia="宋体" w:hAnsi="宋体" w:cs="Times New Roman" w:hint="eastAsia"/>
          <w:kern w:val="0"/>
          <w:sz w:val="24"/>
          <w:szCs w:val="24"/>
        </w:rPr>
        <w:t>失</w:t>
      </w:r>
      <w:r w:rsidR="00BA36AB" w:rsidRPr="00BA36AB">
        <w:rPr>
          <w:rFonts w:ascii="宋体" w:eastAsia="宋体" w:hAnsi="宋体" w:cs="Times New Roman"/>
          <w:kern w:val="0"/>
          <w:sz w:val="24"/>
          <w:szCs w:val="24"/>
        </w:rPr>
        <w:t>4,948,999.86</w:t>
      </w:r>
      <w:r w:rsidRPr="00C05EFA">
        <w:rPr>
          <w:rFonts w:ascii="宋体" w:eastAsia="宋体" w:hAnsi="宋体" w:cs="Times New Roman" w:hint="eastAsia"/>
          <w:kern w:val="0"/>
          <w:sz w:val="24"/>
          <w:szCs w:val="24"/>
        </w:rPr>
        <w:t>元</w:t>
      </w:r>
      <w:r>
        <w:rPr>
          <w:rFonts w:ascii="宋体" w:eastAsia="宋体" w:hAnsi="宋体" w:cs="Times New Roman" w:hint="eastAsia"/>
          <w:kern w:val="0"/>
          <w:sz w:val="24"/>
          <w:szCs w:val="24"/>
        </w:rPr>
        <w:t>。</w:t>
      </w:r>
    </w:p>
    <w:p w14:paraId="3FFA3AB3" w14:textId="77777777" w:rsidR="009B4A9B" w:rsidRDefault="000E3350">
      <w:pPr>
        <w:spacing w:line="360" w:lineRule="auto"/>
        <w:ind w:firstLineChars="200" w:firstLine="480"/>
        <w:rPr>
          <w:rFonts w:ascii="宋体" w:eastAsia="宋体" w:hAnsi="宋体" w:cs="Times New Roman" w:hint="eastAsia"/>
          <w:kern w:val="0"/>
          <w:sz w:val="24"/>
          <w:szCs w:val="24"/>
        </w:rPr>
      </w:pPr>
      <w:r>
        <w:rPr>
          <w:rFonts w:ascii="宋体" w:eastAsia="宋体" w:hAnsi="宋体" w:cs="Times New Roman" w:hint="eastAsia"/>
          <w:kern w:val="0"/>
          <w:sz w:val="24"/>
          <w:szCs w:val="24"/>
        </w:rPr>
        <w:lastRenderedPageBreak/>
        <w:t>3、合同资产减值损失</w:t>
      </w:r>
    </w:p>
    <w:p w14:paraId="7DAAC070" w14:textId="77777777" w:rsidR="009B4A9B" w:rsidRDefault="000E3350">
      <w:pPr>
        <w:spacing w:line="360" w:lineRule="auto"/>
        <w:ind w:firstLineChars="200" w:firstLine="480"/>
        <w:rPr>
          <w:rFonts w:ascii="宋体" w:eastAsia="宋体" w:hAnsi="宋体" w:cs="Times New Roman" w:hint="eastAsia"/>
          <w:kern w:val="0"/>
          <w:sz w:val="24"/>
          <w:szCs w:val="24"/>
        </w:rPr>
      </w:pPr>
      <w:r>
        <w:rPr>
          <w:rFonts w:ascii="宋体" w:eastAsia="宋体" w:hAnsi="宋体" w:cs="Times New Roman" w:hint="eastAsia"/>
          <w:kern w:val="0"/>
          <w:sz w:val="24"/>
          <w:szCs w:val="24"/>
        </w:rPr>
        <w:t>公司按照《企业会计准则第22号－金融工具确认和计量》规定，以预期信用损失为基础，对金融资产进行减值会计处理并确认损失准备，并根据相应的金融资产分类，将减值准备计入相关的科目。其中预期信用损失，是指以发生违约的风险为权重的金融工具信用损失的加权平均值。</w:t>
      </w:r>
    </w:p>
    <w:p w14:paraId="1AA5799B" w14:textId="2270A460" w:rsidR="009B4A9B" w:rsidRDefault="000E3350">
      <w:pPr>
        <w:widowControl/>
        <w:spacing w:line="360" w:lineRule="auto"/>
        <w:ind w:firstLineChars="200" w:firstLine="480"/>
        <w:rPr>
          <w:rFonts w:ascii="宋体" w:eastAsia="宋体" w:hAnsi="宋体" w:cs="Calibri" w:hint="eastAsia"/>
          <w:kern w:val="0"/>
          <w:sz w:val="18"/>
          <w:szCs w:val="18"/>
        </w:rPr>
      </w:pPr>
      <w:r>
        <w:rPr>
          <w:rFonts w:ascii="宋体" w:eastAsia="宋体" w:hAnsi="宋体" w:cs="Times New Roman" w:hint="eastAsia"/>
          <w:kern w:val="0"/>
          <w:sz w:val="24"/>
          <w:szCs w:val="24"/>
        </w:rPr>
        <w:t>根据上述标准，公司计提合同资产减值</w:t>
      </w:r>
      <w:r w:rsidR="000C7CAD" w:rsidRPr="00536E0B">
        <w:rPr>
          <w:rFonts w:ascii="宋体" w:eastAsia="宋体" w:hAnsi="宋体" w:cs="Times New Roman"/>
          <w:sz w:val="24"/>
          <w:szCs w:val="21"/>
        </w:rPr>
        <w:t>-471,024.86</w:t>
      </w:r>
      <w:r>
        <w:rPr>
          <w:rFonts w:ascii="宋体" w:eastAsia="宋体" w:hAnsi="宋体" w:cs="Times New Roman" w:hint="eastAsia"/>
          <w:kern w:val="0"/>
          <w:sz w:val="24"/>
          <w:szCs w:val="24"/>
        </w:rPr>
        <w:t>元。</w:t>
      </w:r>
    </w:p>
    <w:p w14:paraId="5936FEF5" w14:textId="77777777" w:rsidR="009B4A9B" w:rsidRDefault="000E3350">
      <w:pPr>
        <w:spacing w:line="360" w:lineRule="auto"/>
        <w:ind w:firstLineChars="200" w:firstLine="480"/>
        <w:rPr>
          <w:rFonts w:ascii="宋体" w:eastAsia="宋体" w:hAnsi="宋体" w:cs="Times New Roman" w:hint="eastAsia"/>
          <w:kern w:val="0"/>
          <w:sz w:val="24"/>
          <w:szCs w:val="24"/>
        </w:rPr>
      </w:pPr>
      <w:r>
        <w:rPr>
          <w:rFonts w:ascii="宋体" w:eastAsia="宋体" w:hAnsi="宋体" w:cs="Times New Roman" w:hint="eastAsia"/>
          <w:kern w:val="0"/>
          <w:sz w:val="24"/>
          <w:szCs w:val="24"/>
        </w:rPr>
        <w:t>4、其他非流动资产减值损失</w:t>
      </w:r>
    </w:p>
    <w:p w14:paraId="2DDFDA11" w14:textId="77777777" w:rsidR="009B4A9B" w:rsidRDefault="000E3350">
      <w:pPr>
        <w:spacing w:line="360" w:lineRule="auto"/>
        <w:ind w:firstLineChars="200" w:firstLine="480"/>
        <w:rPr>
          <w:rFonts w:ascii="宋体" w:eastAsia="宋体" w:hAnsi="宋体" w:cs="Times New Roman" w:hint="eastAsia"/>
          <w:kern w:val="0"/>
          <w:sz w:val="24"/>
          <w:szCs w:val="24"/>
        </w:rPr>
      </w:pPr>
      <w:r>
        <w:rPr>
          <w:rFonts w:ascii="宋体" w:eastAsia="宋体" w:hAnsi="宋体" w:cs="Times New Roman" w:hint="eastAsia"/>
          <w:kern w:val="0"/>
          <w:sz w:val="24"/>
          <w:szCs w:val="24"/>
        </w:rPr>
        <w:t>公司按照《企业会计准则第22号－金融工具确认和计量》规定，以预期信用损失为基础，对金融资产进行减值会计处理并确认损失准备，并根据相应的金融资产分类，将减值准备计入相关的科目。其中预期信用损失，是指以发生违约的风险为权重的金融工具信用损失的加权平均值。</w:t>
      </w:r>
    </w:p>
    <w:p w14:paraId="7FBD8893" w14:textId="0C15269D" w:rsidR="009B4A9B" w:rsidRDefault="000E3350">
      <w:pPr>
        <w:spacing w:line="360" w:lineRule="auto"/>
        <w:ind w:firstLineChars="200" w:firstLine="480"/>
        <w:rPr>
          <w:rFonts w:ascii="宋体" w:eastAsia="宋体" w:hAnsi="宋体" w:cs="Times New Roman" w:hint="eastAsia"/>
          <w:kern w:val="0"/>
          <w:sz w:val="24"/>
          <w:szCs w:val="24"/>
        </w:rPr>
      </w:pPr>
      <w:r>
        <w:rPr>
          <w:rFonts w:ascii="宋体" w:eastAsia="宋体" w:hAnsi="宋体" w:cs="Times New Roman" w:hint="eastAsia"/>
          <w:kern w:val="0"/>
          <w:sz w:val="24"/>
          <w:szCs w:val="24"/>
        </w:rPr>
        <w:t>根据上述标准，公司计提其他非流动资产减值</w:t>
      </w:r>
      <w:r w:rsidR="000C7CAD" w:rsidRPr="00536E0B">
        <w:rPr>
          <w:rFonts w:ascii="宋体" w:eastAsia="宋体" w:hAnsi="宋体" w:cs="Times New Roman"/>
          <w:sz w:val="24"/>
          <w:szCs w:val="21"/>
        </w:rPr>
        <w:t>161,520.50</w:t>
      </w:r>
      <w:r w:rsidRPr="00536E0B">
        <w:rPr>
          <w:rFonts w:ascii="宋体" w:eastAsia="宋体" w:hAnsi="宋体" w:cs="Times New Roman" w:hint="eastAsia"/>
          <w:kern w:val="0"/>
          <w:sz w:val="24"/>
          <w:szCs w:val="24"/>
        </w:rPr>
        <w:t>元</w:t>
      </w:r>
      <w:r>
        <w:rPr>
          <w:rFonts w:ascii="宋体" w:eastAsia="宋体" w:hAnsi="宋体" w:cs="Times New Roman" w:hint="eastAsia"/>
          <w:kern w:val="0"/>
          <w:sz w:val="24"/>
          <w:szCs w:val="24"/>
        </w:rPr>
        <w:t>。</w:t>
      </w:r>
    </w:p>
    <w:p w14:paraId="252D7DC5" w14:textId="77777777" w:rsidR="009B4A9B" w:rsidRDefault="000E3350">
      <w:pPr>
        <w:spacing w:line="360" w:lineRule="auto"/>
        <w:ind w:firstLine="420"/>
        <w:jc w:val="left"/>
        <w:rPr>
          <w:rFonts w:ascii="宋体" w:eastAsia="宋体" w:hAnsi="宋体" w:cs="Times New Roman" w:hint="eastAsia"/>
          <w:b/>
          <w:kern w:val="0"/>
          <w:sz w:val="24"/>
          <w:szCs w:val="24"/>
        </w:rPr>
      </w:pPr>
      <w:r>
        <w:rPr>
          <w:rFonts w:ascii="宋体" w:eastAsia="宋体" w:hAnsi="宋体" w:cs="Times New Roman" w:hint="eastAsia"/>
          <w:b/>
          <w:kern w:val="0"/>
          <w:sz w:val="24"/>
          <w:szCs w:val="24"/>
        </w:rPr>
        <w:t>三</w:t>
      </w:r>
      <w:r>
        <w:rPr>
          <w:rFonts w:ascii="宋体" w:eastAsia="宋体" w:hAnsi="宋体" w:cs="Times New Roman"/>
          <w:b/>
          <w:kern w:val="0"/>
          <w:sz w:val="24"/>
          <w:szCs w:val="24"/>
        </w:rPr>
        <w:t>、</w:t>
      </w:r>
      <w:r>
        <w:rPr>
          <w:rFonts w:ascii="宋体" w:eastAsia="宋体" w:hAnsi="宋体" w:cs="Times New Roman" w:hint="eastAsia"/>
          <w:b/>
          <w:kern w:val="0"/>
          <w:sz w:val="24"/>
          <w:szCs w:val="24"/>
        </w:rPr>
        <w:t>本次计提信用及资产减值准备对公司的影响</w:t>
      </w:r>
    </w:p>
    <w:p w14:paraId="5D3EA689" w14:textId="1D3B03C8" w:rsidR="009B4A9B" w:rsidRDefault="000E3350">
      <w:pPr>
        <w:spacing w:line="360" w:lineRule="auto"/>
        <w:ind w:firstLineChars="200" w:firstLine="480"/>
        <w:jc w:val="left"/>
        <w:rPr>
          <w:rFonts w:ascii="宋体" w:eastAsia="宋体" w:hAnsi="宋体" w:cs="Times New Roman" w:hint="eastAsia"/>
          <w:kern w:val="0"/>
          <w:sz w:val="24"/>
          <w:szCs w:val="24"/>
        </w:rPr>
      </w:pPr>
      <w:r>
        <w:rPr>
          <w:rFonts w:ascii="宋体" w:eastAsia="宋体" w:hAnsi="宋体" w:cs="Times New Roman" w:hint="eastAsia"/>
          <w:kern w:val="0"/>
          <w:sz w:val="24"/>
          <w:szCs w:val="24"/>
        </w:rPr>
        <w:t>本次计提信用及资产减值准备共计</w:t>
      </w:r>
      <w:r w:rsidR="00BA36AB" w:rsidRPr="00BA36AB">
        <w:rPr>
          <w:rFonts w:ascii="宋体" w:eastAsia="宋体" w:hAnsi="宋体" w:cs="Times New Roman"/>
          <w:sz w:val="24"/>
          <w:szCs w:val="21"/>
        </w:rPr>
        <w:t>9,976,693.09</w:t>
      </w:r>
      <w:r w:rsidRPr="00536E0B">
        <w:rPr>
          <w:rFonts w:ascii="宋体" w:eastAsia="宋体" w:hAnsi="宋体" w:cs="Times New Roman" w:hint="eastAsia"/>
          <w:kern w:val="0"/>
          <w:sz w:val="24"/>
          <w:szCs w:val="24"/>
        </w:rPr>
        <w:t>元</w:t>
      </w:r>
      <w:r>
        <w:rPr>
          <w:rFonts w:ascii="宋体" w:eastAsia="宋体" w:hAnsi="宋体" w:cs="Times New Roman" w:hint="eastAsia"/>
          <w:kern w:val="0"/>
          <w:sz w:val="24"/>
          <w:szCs w:val="24"/>
        </w:rPr>
        <w:t>，</w:t>
      </w:r>
      <w:r w:rsidR="00B265AC">
        <w:rPr>
          <w:rFonts w:ascii="宋体" w:eastAsia="宋体" w:hAnsi="宋体" w:cs="Times New Roman" w:hint="eastAsia"/>
          <w:kern w:val="0"/>
          <w:sz w:val="24"/>
          <w:szCs w:val="24"/>
        </w:rPr>
        <w:t>占公司202</w:t>
      </w:r>
      <w:r w:rsidR="00D80426">
        <w:rPr>
          <w:rFonts w:ascii="宋体" w:eastAsia="宋体" w:hAnsi="宋体" w:cs="Times New Roman"/>
          <w:kern w:val="0"/>
          <w:sz w:val="24"/>
          <w:szCs w:val="24"/>
        </w:rPr>
        <w:t>6</w:t>
      </w:r>
      <w:r w:rsidR="00F0420D">
        <w:rPr>
          <w:rFonts w:ascii="宋体" w:eastAsia="宋体" w:hAnsi="宋体" w:cs="Times New Roman"/>
          <w:kern w:val="0"/>
          <w:sz w:val="24"/>
          <w:szCs w:val="24"/>
        </w:rPr>
        <w:t>半</w:t>
      </w:r>
      <w:r w:rsidR="00B265AC">
        <w:rPr>
          <w:rFonts w:ascii="宋体" w:eastAsia="宋体" w:hAnsi="宋体" w:cs="Times New Roman" w:hint="eastAsia"/>
          <w:kern w:val="0"/>
          <w:sz w:val="24"/>
          <w:szCs w:val="24"/>
        </w:rPr>
        <w:t>年度归属于母公司所有者的净利润的比例为</w:t>
      </w:r>
      <w:r w:rsidR="00C05EFA" w:rsidRPr="00536E0B">
        <w:rPr>
          <w:rFonts w:ascii="宋体" w:eastAsia="宋体" w:hAnsi="宋体" w:cs="Times New Roman" w:hint="eastAsia"/>
          <w:kern w:val="0"/>
          <w:sz w:val="24"/>
          <w:szCs w:val="24"/>
        </w:rPr>
        <w:t>20.</w:t>
      </w:r>
      <w:r w:rsidR="00BA36AB">
        <w:rPr>
          <w:rFonts w:ascii="宋体" w:eastAsia="宋体" w:hAnsi="宋体" w:cs="Times New Roman" w:hint="eastAsia"/>
          <w:kern w:val="0"/>
          <w:sz w:val="24"/>
          <w:szCs w:val="24"/>
        </w:rPr>
        <w:t>8</w:t>
      </w:r>
      <w:r w:rsidR="00C05EFA" w:rsidRPr="00536E0B">
        <w:rPr>
          <w:rFonts w:ascii="宋体" w:eastAsia="宋体" w:hAnsi="宋体" w:cs="Times New Roman" w:hint="eastAsia"/>
          <w:kern w:val="0"/>
          <w:sz w:val="24"/>
          <w:szCs w:val="24"/>
        </w:rPr>
        <w:t>7</w:t>
      </w:r>
      <w:r w:rsidR="00B265AC" w:rsidRPr="00536E0B">
        <w:rPr>
          <w:rFonts w:ascii="宋体" w:eastAsia="宋体" w:hAnsi="宋体" w:cs="Times New Roman" w:hint="eastAsia"/>
          <w:kern w:val="0"/>
          <w:sz w:val="24"/>
          <w:szCs w:val="24"/>
        </w:rPr>
        <w:t>%</w:t>
      </w:r>
      <w:r w:rsidR="00B265AC">
        <w:rPr>
          <w:rFonts w:ascii="宋体" w:eastAsia="宋体" w:hAnsi="宋体" w:cs="Times New Roman" w:hint="eastAsia"/>
          <w:kern w:val="0"/>
          <w:sz w:val="24"/>
          <w:szCs w:val="24"/>
        </w:rPr>
        <w:t>，</w:t>
      </w:r>
      <w:r>
        <w:rPr>
          <w:rFonts w:ascii="宋体" w:eastAsia="宋体" w:hAnsi="宋体" w:cs="Times New Roman" w:hint="eastAsia"/>
          <w:kern w:val="0"/>
          <w:sz w:val="24"/>
          <w:szCs w:val="24"/>
        </w:rPr>
        <w:t>本期发生的信用及资产减值准备影响当期利润总</w:t>
      </w:r>
      <w:r w:rsidRPr="002079EA">
        <w:rPr>
          <w:rFonts w:ascii="宋体" w:eastAsia="宋体" w:hAnsi="宋体" w:cs="Times New Roman" w:hint="eastAsia"/>
          <w:kern w:val="0"/>
          <w:sz w:val="24"/>
          <w:szCs w:val="24"/>
        </w:rPr>
        <w:t>额</w:t>
      </w:r>
      <w:r w:rsidR="00BA36AB" w:rsidRPr="00BA36AB">
        <w:rPr>
          <w:rFonts w:ascii="宋体" w:eastAsia="宋体" w:hAnsi="宋体" w:cs="Times New Roman"/>
          <w:sz w:val="24"/>
          <w:szCs w:val="21"/>
        </w:rPr>
        <w:t>9,976,693.09</w:t>
      </w:r>
      <w:r w:rsidRPr="00536E0B">
        <w:rPr>
          <w:rFonts w:ascii="宋体" w:eastAsia="宋体" w:hAnsi="宋体" w:cs="Times New Roman" w:hint="eastAsia"/>
          <w:kern w:val="0"/>
          <w:sz w:val="24"/>
          <w:szCs w:val="24"/>
        </w:rPr>
        <w:t>元，</w:t>
      </w:r>
      <w:r>
        <w:rPr>
          <w:rFonts w:ascii="宋体" w:eastAsia="宋体" w:hAnsi="宋体" w:cs="Times New Roman" w:hint="eastAsia"/>
          <w:kern w:val="0"/>
          <w:sz w:val="24"/>
          <w:szCs w:val="24"/>
        </w:rPr>
        <w:t>已在公司202</w:t>
      </w:r>
      <w:r w:rsidR="00A4603A">
        <w:rPr>
          <w:rFonts w:ascii="宋体" w:eastAsia="宋体" w:hAnsi="宋体" w:cs="Times New Roman"/>
          <w:kern w:val="0"/>
          <w:sz w:val="24"/>
          <w:szCs w:val="24"/>
        </w:rPr>
        <w:t>6</w:t>
      </w:r>
      <w:r>
        <w:rPr>
          <w:rFonts w:ascii="宋体" w:eastAsia="宋体" w:hAnsi="宋体" w:cs="Times New Roman" w:hint="eastAsia"/>
          <w:kern w:val="0"/>
          <w:sz w:val="24"/>
          <w:szCs w:val="24"/>
        </w:rPr>
        <w:t>年半年度的财务报告中反映。本次计提的减值损失未经审计。</w:t>
      </w:r>
    </w:p>
    <w:p w14:paraId="4787C9E9" w14:textId="77777777" w:rsidR="009B4A9B" w:rsidRDefault="007553B8">
      <w:pPr>
        <w:spacing w:line="360" w:lineRule="auto"/>
        <w:ind w:firstLineChars="200" w:firstLine="482"/>
        <w:jc w:val="left"/>
        <w:rPr>
          <w:rFonts w:ascii="宋体" w:eastAsia="宋体" w:hAnsi="宋体" w:cs="Times New Roman" w:hint="eastAsia"/>
          <w:b/>
          <w:kern w:val="0"/>
          <w:sz w:val="24"/>
          <w:szCs w:val="24"/>
        </w:rPr>
      </w:pPr>
      <w:r>
        <w:rPr>
          <w:rFonts w:ascii="宋体" w:eastAsia="宋体" w:hAnsi="宋体" w:cs="Times New Roman" w:hint="eastAsia"/>
          <w:b/>
          <w:kern w:val="0"/>
          <w:sz w:val="24"/>
          <w:szCs w:val="24"/>
        </w:rPr>
        <w:t>四</w:t>
      </w:r>
      <w:r w:rsidR="000E3350">
        <w:rPr>
          <w:rFonts w:ascii="宋体" w:eastAsia="宋体" w:hAnsi="宋体" w:cs="Times New Roman"/>
          <w:b/>
          <w:kern w:val="0"/>
          <w:sz w:val="24"/>
          <w:szCs w:val="24"/>
        </w:rPr>
        <w:t>、</w:t>
      </w:r>
      <w:r w:rsidR="000E3350">
        <w:rPr>
          <w:rFonts w:ascii="宋体" w:eastAsia="宋体" w:hAnsi="宋体" w:cs="Times New Roman" w:hint="eastAsia"/>
          <w:b/>
          <w:kern w:val="0"/>
          <w:sz w:val="24"/>
          <w:szCs w:val="24"/>
        </w:rPr>
        <w:t>董事会审计委员会意见</w:t>
      </w:r>
    </w:p>
    <w:p w14:paraId="3F59B7F3" w14:textId="04406D1C" w:rsidR="009B4A9B" w:rsidRDefault="000E3350">
      <w:pPr>
        <w:spacing w:line="360" w:lineRule="auto"/>
        <w:ind w:firstLineChars="200" w:firstLine="480"/>
        <w:jc w:val="left"/>
        <w:rPr>
          <w:rFonts w:ascii="宋体" w:eastAsia="宋体" w:hAnsi="宋体" w:cs="Times New Roman" w:hint="eastAsia"/>
          <w:kern w:val="0"/>
          <w:sz w:val="24"/>
          <w:szCs w:val="24"/>
        </w:rPr>
      </w:pPr>
      <w:r>
        <w:rPr>
          <w:rFonts w:ascii="宋体" w:eastAsia="宋体" w:hAnsi="宋体" w:cs="Times New Roman" w:hint="eastAsia"/>
          <w:kern w:val="0"/>
          <w:sz w:val="24"/>
          <w:szCs w:val="24"/>
        </w:rPr>
        <w:t>经审核，公司计提信用减值准备及资产减值准备事项符合《企业会计准则》等的相关规定和公司资产实际情况，没有损害公司及中小股东利益，体现了公司会计政策的稳健、谨慎，使公司财务报表能够更加公允地反映截至202</w:t>
      </w:r>
      <w:r w:rsidR="00A4603A">
        <w:rPr>
          <w:rFonts w:ascii="宋体" w:eastAsia="宋体" w:hAnsi="宋体" w:cs="Times New Roman"/>
          <w:kern w:val="0"/>
          <w:sz w:val="24"/>
          <w:szCs w:val="24"/>
        </w:rPr>
        <w:t>6</w:t>
      </w:r>
      <w:r>
        <w:rPr>
          <w:rFonts w:ascii="宋体" w:eastAsia="宋体" w:hAnsi="宋体" w:cs="Times New Roman" w:hint="eastAsia"/>
          <w:kern w:val="0"/>
          <w:sz w:val="24"/>
          <w:szCs w:val="24"/>
        </w:rPr>
        <w:t>年6月30日公司的财务状况、资产价值及经营成果，公司的会计信息更具合理性，同意本次计提减值准备的相关事项。</w:t>
      </w:r>
    </w:p>
    <w:p w14:paraId="6FF2C9FA" w14:textId="77777777" w:rsidR="009B4A9B" w:rsidRDefault="007553B8">
      <w:pPr>
        <w:spacing w:line="360" w:lineRule="auto"/>
        <w:ind w:firstLineChars="200" w:firstLine="482"/>
        <w:jc w:val="left"/>
        <w:rPr>
          <w:rFonts w:ascii="宋体" w:eastAsia="宋体" w:hAnsi="宋体" w:cs="Times New Roman" w:hint="eastAsia"/>
          <w:b/>
          <w:kern w:val="0"/>
          <w:sz w:val="24"/>
          <w:szCs w:val="24"/>
        </w:rPr>
      </w:pPr>
      <w:r>
        <w:rPr>
          <w:rFonts w:ascii="宋体" w:eastAsia="宋体" w:hAnsi="宋体" w:cs="Times New Roman" w:hint="eastAsia"/>
          <w:b/>
          <w:kern w:val="0"/>
          <w:sz w:val="24"/>
          <w:szCs w:val="24"/>
        </w:rPr>
        <w:t>五</w:t>
      </w:r>
      <w:r w:rsidR="000E3350">
        <w:rPr>
          <w:rFonts w:ascii="宋体" w:eastAsia="宋体" w:hAnsi="宋体" w:cs="Times New Roman"/>
          <w:b/>
          <w:kern w:val="0"/>
          <w:sz w:val="24"/>
          <w:szCs w:val="24"/>
        </w:rPr>
        <w:t>、</w:t>
      </w:r>
      <w:r w:rsidR="000E3350">
        <w:rPr>
          <w:rFonts w:ascii="宋体" w:eastAsia="宋体" w:hAnsi="宋体" w:cs="Times New Roman" w:hint="eastAsia"/>
          <w:b/>
          <w:kern w:val="0"/>
          <w:sz w:val="24"/>
          <w:szCs w:val="24"/>
        </w:rPr>
        <w:t>董事会意见</w:t>
      </w:r>
    </w:p>
    <w:p w14:paraId="503B80D1" w14:textId="50A028DA" w:rsidR="009B4A9B" w:rsidRDefault="000E3350">
      <w:pPr>
        <w:spacing w:line="360" w:lineRule="auto"/>
        <w:ind w:firstLineChars="200" w:firstLine="480"/>
        <w:rPr>
          <w:rFonts w:ascii="宋体" w:eastAsia="宋体" w:hAnsi="宋体" w:cs="Times New Roman" w:hint="eastAsia"/>
          <w:kern w:val="0"/>
          <w:sz w:val="24"/>
          <w:szCs w:val="24"/>
        </w:rPr>
      </w:pPr>
      <w:r>
        <w:rPr>
          <w:rFonts w:ascii="宋体" w:eastAsia="宋体" w:hAnsi="宋体" w:cs="Times New Roman" w:hint="eastAsia"/>
          <w:kern w:val="0"/>
          <w:sz w:val="24"/>
          <w:szCs w:val="24"/>
        </w:rPr>
        <w:t>公司本次计提信用及资产减值准备是基于谨慎性原则，依据充分，符合《企业会计准则》和公司相关会计政策的规定，公允地反映了公司截至202</w:t>
      </w:r>
      <w:r w:rsidR="00986DEA">
        <w:rPr>
          <w:rFonts w:ascii="宋体" w:eastAsia="宋体" w:hAnsi="宋体" w:cs="Times New Roman"/>
          <w:kern w:val="0"/>
          <w:sz w:val="24"/>
          <w:szCs w:val="24"/>
        </w:rPr>
        <w:t>6</w:t>
      </w:r>
      <w:r>
        <w:rPr>
          <w:rFonts w:ascii="宋体" w:eastAsia="宋体" w:hAnsi="宋体" w:cs="Times New Roman"/>
          <w:kern w:val="0"/>
          <w:sz w:val="24"/>
          <w:szCs w:val="24"/>
        </w:rPr>
        <w:t>年</w:t>
      </w:r>
      <w:r>
        <w:rPr>
          <w:rFonts w:ascii="宋体" w:eastAsia="宋体" w:hAnsi="宋体" w:cs="Times New Roman" w:hint="eastAsia"/>
          <w:kern w:val="0"/>
          <w:sz w:val="24"/>
          <w:szCs w:val="24"/>
        </w:rPr>
        <w:t>6月3</w:t>
      </w:r>
      <w:r>
        <w:rPr>
          <w:rFonts w:ascii="宋体" w:eastAsia="宋体" w:hAnsi="宋体" w:cs="Times New Roman"/>
          <w:kern w:val="0"/>
          <w:sz w:val="24"/>
          <w:szCs w:val="24"/>
        </w:rPr>
        <w:t>0日的</w:t>
      </w:r>
      <w:r>
        <w:rPr>
          <w:rFonts w:ascii="宋体" w:eastAsia="宋体" w:hAnsi="宋体" w:cs="Times New Roman" w:hint="eastAsia"/>
          <w:kern w:val="0"/>
          <w:sz w:val="24"/>
          <w:szCs w:val="24"/>
        </w:rPr>
        <w:t>财务</w:t>
      </w:r>
      <w:r>
        <w:rPr>
          <w:rFonts w:ascii="宋体" w:eastAsia="宋体" w:hAnsi="宋体" w:cs="Times New Roman"/>
          <w:kern w:val="0"/>
          <w:sz w:val="24"/>
          <w:szCs w:val="24"/>
        </w:rPr>
        <w:t>状况和经营成果，</w:t>
      </w:r>
      <w:r>
        <w:rPr>
          <w:rFonts w:ascii="宋体" w:eastAsia="宋体" w:hAnsi="宋体" w:cs="Times New Roman" w:hint="eastAsia"/>
          <w:kern w:val="0"/>
          <w:sz w:val="24"/>
          <w:szCs w:val="24"/>
        </w:rPr>
        <w:t>使公司会计信息更真实可靠，更具有合理性，因此，</w:t>
      </w:r>
      <w:r>
        <w:rPr>
          <w:rFonts w:ascii="宋体" w:eastAsia="宋体" w:hAnsi="宋体" w:hint="eastAsia"/>
          <w:sz w:val="24"/>
        </w:rPr>
        <w:t>同意公司计提信用及资产减值准备。</w:t>
      </w:r>
    </w:p>
    <w:p w14:paraId="2287CE96" w14:textId="23B83774" w:rsidR="009B4A9B" w:rsidRDefault="00986DEA">
      <w:pPr>
        <w:spacing w:line="360" w:lineRule="auto"/>
        <w:ind w:firstLineChars="200" w:firstLine="482"/>
        <w:rPr>
          <w:rFonts w:ascii="宋体" w:eastAsia="宋体" w:hAnsi="宋体" w:hint="eastAsia"/>
          <w:b/>
          <w:sz w:val="24"/>
        </w:rPr>
      </w:pPr>
      <w:r>
        <w:rPr>
          <w:rFonts w:ascii="宋体" w:eastAsia="宋体" w:hAnsi="宋体" w:hint="eastAsia"/>
          <w:b/>
          <w:sz w:val="24"/>
        </w:rPr>
        <w:t>六</w:t>
      </w:r>
      <w:r w:rsidR="000E3350">
        <w:rPr>
          <w:rFonts w:ascii="宋体" w:eastAsia="宋体" w:hAnsi="宋体"/>
          <w:b/>
          <w:sz w:val="24"/>
        </w:rPr>
        <w:t>、备查文件</w:t>
      </w:r>
    </w:p>
    <w:p w14:paraId="4F0D217D" w14:textId="58667763" w:rsidR="009B4A9B" w:rsidRDefault="000E3350">
      <w:pPr>
        <w:spacing w:line="360" w:lineRule="auto"/>
        <w:ind w:firstLineChars="200" w:firstLine="480"/>
        <w:rPr>
          <w:rFonts w:ascii="宋体" w:eastAsia="宋体" w:hAnsi="宋体" w:hint="eastAsia"/>
          <w:sz w:val="24"/>
        </w:rPr>
      </w:pPr>
      <w:r>
        <w:rPr>
          <w:rFonts w:ascii="宋体" w:eastAsia="宋体" w:hAnsi="宋体" w:hint="eastAsia"/>
          <w:sz w:val="24"/>
        </w:rPr>
        <w:lastRenderedPageBreak/>
        <w:t>1、</w:t>
      </w:r>
      <w:r w:rsidR="00D171BD">
        <w:rPr>
          <w:rFonts w:ascii="宋体" w:eastAsia="宋体" w:hAnsi="宋体" w:hint="eastAsia"/>
          <w:sz w:val="24"/>
        </w:rPr>
        <w:t>公司第六届董事会第</w:t>
      </w:r>
      <w:r w:rsidR="00986DEA">
        <w:rPr>
          <w:rFonts w:ascii="宋体" w:eastAsia="宋体" w:hAnsi="宋体" w:hint="eastAsia"/>
          <w:sz w:val="24"/>
        </w:rPr>
        <w:t>八</w:t>
      </w:r>
      <w:r w:rsidR="00D171BD">
        <w:rPr>
          <w:rFonts w:ascii="宋体" w:eastAsia="宋体" w:hAnsi="宋体" w:hint="eastAsia"/>
          <w:sz w:val="24"/>
        </w:rPr>
        <w:t>次会议决议。</w:t>
      </w:r>
    </w:p>
    <w:p w14:paraId="356F4253" w14:textId="6355F80A" w:rsidR="00D171BD" w:rsidRPr="00D171BD" w:rsidRDefault="00986DEA">
      <w:pPr>
        <w:spacing w:line="360" w:lineRule="auto"/>
        <w:ind w:firstLineChars="200" w:firstLine="480"/>
        <w:rPr>
          <w:rFonts w:ascii="宋体" w:eastAsia="宋体" w:hAnsi="宋体" w:hint="eastAsia"/>
          <w:sz w:val="24"/>
        </w:rPr>
      </w:pPr>
      <w:r>
        <w:rPr>
          <w:rFonts w:ascii="宋体" w:eastAsia="宋体" w:hAnsi="宋体"/>
          <w:sz w:val="24"/>
        </w:rPr>
        <w:t>2</w:t>
      </w:r>
      <w:r w:rsidR="00D171BD">
        <w:rPr>
          <w:rFonts w:ascii="宋体" w:eastAsia="宋体" w:hAnsi="宋体"/>
          <w:sz w:val="24"/>
        </w:rPr>
        <w:t>、</w:t>
      </w:r>
      <w:r w:rsidR="00D171BD" w:rsidRPr="00D171BD">
        <w:rPr>
          <w:rFonts w:ascii="宋体" w:eastAsia="宋体" w:hAnsi="宋体" w:hint="eastAsia"/>
          <w:sz w:val="24"/>
        </w:rPr>
        <w:t>审计委员会关于202</w:t>
      </w:r>
      <w:r w:rsidR="00851061">
        <w:rPr>
          <w:rFonts w:ascii="宋体" w:eastAsia="宋体" w:hAnsi="宋体"/>
          <w:sz w:val="24"/>
        </w:rPr>
        <w:t>6</w:t>
      </w:r>
      <w:r w:rsidR="00D171BD" w:rsidRPr="00D171BD">
        <w:rPr>
          <w:rFonts w:ascii="宋体" w:eastAsia="宋体" w:hAnsi="宋体" w:hint="eastAsia"/>
          <w:sz w:val="24"/>
        </w:rPr>
        <w:t>年半年度计提信用及资产减值准备的合理性说明</w:t>
      </w:r>
      <w:r w:rsidR="00D171BD">
        <w:rPr>
          <w:rFonts w:ascii="宋体" w:eastAsia="宋体" w:hAnsi="宋体" w:hint="eastAsia"/>
          <w:sz w:val="24"/>
        </w:rPr>
        <w:t>。</w:t>
      </w:r>
    </w:p>
    <w:p w14:paraId="0961BB84" w14:textId="77777777" w:rsidR="009B4A9B" w:rsidRDefault="009B4A9B">
      <w:pPr>
        <w:spacing w:line="360" w:lineRule="auto"/>
        <w:ind w:firstLineChars="200" w:firstLine="480"/>
        <w:jc w:val="left"/>
        <w:rPr>
          <w:rFonts w:ascii="宋体" w:eastAsia="宋体" w:hAnsi="宋体" w:hint="eastAsia"/>
          <w:sz w:val="24"/>
        </w:rPr>
      </w:pPr>
    </w:p>
    <w:p w14:paraId="05637F56" w14:textId="77777777" w:rsidR="009B4A9B" w:rsidRDefault="000E3350">
      <w:pPr>
        <w:spacing w:line="360" w:lineRule="auto"/>
        <w:ind w:firstLineChars="200" w:firstLine="480"/>
        <w:jc w:val="left"/>
        <w:rPr>
          <w:rFonts w:ascii="宋体" w:eastAsia="宋体" w:hAnsi="宋体" w:hint="eastAsia"/>
          <w:sz w:val="24"/>
        </w:rPr>
      </w:pPr>
      <w:r>
        <w:rPr>
          <w:rFonts w:ascii="宋体" w:eastAsia="宋体" w:hAnsi="宋体"/>
          <w:sz w:val="24"/>
        </w:rPr>
        <w:t>特此公告</w:t>
      </w:r>
      <w:r>
        <w:rPr>
          <w:rFonts w:ascii="宋体" w:eastAsia="宋体" w:hAnsi="宋体" w:hint="eastAsia"/>
          <w:sz w:val="24"/>
        </w:rPr>
        <w:t>。</w:t>
      </w:r>
    </w:p>
    <w:p w14:paraId="5518CB8D" w14:textId="77777777" w:rsidR="009B4A9B" w:rsidRDefault="000E3350">
      <w:pPr>
        <w:spacing w:line="360" w:lineRule="auto"/>
        <w:ind w:firstLineChars="200" w:firstLine="480"/>
        <w:jc w:val="left"/>
        <w:rPr>
          <w:rFonts w:ascii="宋体" w:eastAsia="宋体" w:hAnsi="宋体" w:hint="eastAsia"/>
          <w:sz w:val="24"/>
        </w:rPr>
      </w:pPr>
      <w:r>
        <w:rPr>
          <w:rFonts w:ascii="宋体" w:eastAsia="宋体" w:hAnsi="宋体" w:hint="eastAsia"/>
          <w:sz w:val="24"/>
        </w:rPr>
        <w:t xml:space="preserve">    </w:t>
      </w:r>
    </w:p>
    <w:p w14:paraId="3345BABD" w14:textId="77777777" w:rsidR="009B4A9B" w:rsidRDefault="000E3350">
      <w:pPr>
        <w:spacing w:line="360" w:lineRule="auto"/>
        <w:jc w:val="right"/>
        <w:rPr>
          <w:rFonts w:ascii="宋体" w:eastAsia="宋体" w:hAnsi="宋体" w:hint="eastAsia"/>
          <w:sz w:val="24"/>
        </w:rPr>
      </w:pPr>
      <w:r>
        <w:rPr>
          <w:rFonts w:ascii="宋体" w:eastAsia="宋体" w:hAnsi="宋体" w:hint="eastAsia"/>
          <w:sz w:val="24"/>
        </w:rPr>
        <w:t xml:space="preserve">　　　　浙</w:t>
      </w:r>
      <w:r>
        <w:rPr>
          <w:rFonts w:ascii="宋体" w:eastAsia="宋体" w:hAnsi="宋体"/>
          <w:sz w:val="24"/>
        </w:rPr>
        <w:t>江威星智能仪表股份有限公司</w:t>
      </w:r>
    </w:p>
    <w:p w14:paraId="1519A853" w14:textId="77777777" w:rsidR="009B4A9B" w:rsidRDefault="000E3350">
      <w:pPr>
        <w:spacing w:line="360" w:lineRule="auto"/>
        <w:jc w:val="right"/>
        <w:rPr>
          <w:rFonts w:ascii="宋体" w:eastAsia="宋体" w:hAnsi="宋体" w:hint="eastAsia"/>
          <w:sz w:val="24"/>
        </w:rPr>
      </w:pPr>
      <w:r>
        <w:rPr>
          <w:rFonts w:ascii="宋体" w:eastAsia="宋体" w:hAnsi="宋体" w:hint="eastAsia"/>
          <w:sz w:val="24"/>
        </w:rPr>
        <w:t>董事会</w:t>
      </w:r>
    </w:p>
    <w:p w14:paraId="145B2C75" w14:textId="67D16C33" w:rsidR="009B4A9B" w:rsidRDefault="000E3350">
      <w:pPr>
        <w:spacing w:line="360" w:lineRule="auto"/>
        <w:jc w:val="right"/>
        <w:rPr>
          <w:rFonts w:ascii="宋体" w:eastAsia="宋体" w:hAnsi="宋体" w:hint="eastAsia"/>
          <w:sz w:val="24"/>
        </w:rPr>
      </w:pPr>
      <w:r>
        <w:rPr>
          <w:rFonts w:ascii="宋体" w:eastAsia="宋体" w:hAnsi="宋体" w:hint="eastAsia"/>
          <w:sz w:val="24"/>
        </w:rPr>
        <w:t xml:space="preserve">　　202</w:t>
      </w:r>
      <w:r w:rsidR="00986DEA">
        <w:rPr>
          <w:rFonts w:ascii="宋体" w:eastAsia="宋体" w:hAnsi="宋体"/>
          <w:sz w:val="24"/>
        </w:rPr>
        <w:t>6</w:t>
      </w:r>
      <w:r>
        <w:rPr>
          <w:rFonts w:ascii="宋体" w:eastAsia="宋体" w:hAnsi="宋体" w:hint="eastAsia"/>
          <w:sz w:val="24"/>
        </w:rPr>
        <w:t>年</w:t>
      </w:r>
      <w:r>
        <w:rPr>
          <w:rFonts w:ascii="宋体" w:eastAsia="宋体" w:hAnsi="宋体"/>
          <w:sz w:val="24"/>
        </w:rPr>
        <w:t>8</w:t>
      </w:r>
      <w:r>
        <w:rPr>
          <w:rFonts w:ascii="宋体" w:eastAsia="宋体" w:hAnsi="宋体" w:hint="eastAsia"/>
          <w:sz w:val="24"/>
        </w:rPr>
        <w:t>月2</w:t>
      </w:r>
      <w:r w:rsidR="00644B3E">
        <w:rPr>
          <w:rFonts w:ascii="宋体" w:eastAsia="宋体" w:hAnsi="宋体"/>
          <w:sz w:val="24"/>
        </w:rPr>
        <w:t>6</w:t>
      </w:r>
      <w:r>
        <w:rPr>
          <w:rFonts w:ascii="宋体" w:eastAsia="宋体" w:hAnsi="宋体" w:hint="eastAsia"/>
          <w:sz w:val="24"/>
        </w:rPr>
        <w:t>日</w:t>
      </w:r>
    </w:p>
    <w:p w14:paraId="08C52FBE" w14:textId="77777777" w:rsidR="009B4A9B" w:rsidRDefault="009B4A9B">
      <w:pPr>
        <w:spacing w:line="360" w:lineRule="auto"/>
        <w:rPr>
          <w:rFonts w:ascii="宋体" w:eastAsia="宋体" w:hAnsi="宋体" w:hint="eastAsia"/>
        </w:rPr>
      </w:pPr>
    </w:p>
    <w:sectPr w:rsidR="009B4A9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357BC" w14:textId="77777777" w:rsidR="00434C4C" w:rsidRDefault="00434C4C" w:rsidP="009A5A84">
      <w:r>
        <w:separator/>
      </w:r>
    </w:p>
  </w:endnote>
  <w:endnote w:type="continuationSeparator" w:id="0">
    <w:p w14:paraId="084694A2" w14:textId="77777777" w:rsidR="00434C4C" w:rsidRDefault="00434C4C" w:rsidP="009A5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8E9AD" w14:textId="77777777" w:rsidR="00434C4C" w:rsidRDefault="00434C4C" w:rsidP="009A5A84">
      <w:r>
        <w:separator/>
      </w:r>
    </w:p>
  </w:footnote>
  <w:footnote w:type="continuationSeparator" w:id="0">
    <w:p w14:paraId="0F2866B6" w14:textId="77777777" w:rsidR="00434C4C" w:rsidRDefault="00434C4C" w:rsidP="009A5A8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B08"/>
    <w:rsid w:val="0000050A"/>
    <w:rsid w:val="00000BA1"/>
    <w:rsid w:val="000027E3"/>
    <w:rsid w:val="00053DCE"/>
    <w:rsid w:val="00060D42"/>
    <w:rsid w:val="000728D9"/>
    <w:rsid w:val="00077B20"/>
    <w:rsid w:val="000A7381"/>
    <w:rsid w:val="000B0F63"/>
    <w:rsid w:val="000C0849"/>
    <w:rsid w:val="000C7CAD"/>
    <w:rsid w:val="000D20AC"/>
    <w:rsid w:val="000D6B83"/>
    <w:rsid w:val="000E3350"/>
    <w:rsid w:val="000F3E2C"/>
    <w:rsid w:val="00106D4A"/>
    <w:rsid w:val="001123B2"/>
    <w:rsid w:val="001229A6"/>
    <w:rsid w:val="00137FB9"/>
    <w:rsid w:val="00140F50"/>
    <w:rsid w:val="001426A9"/>
    <w:rsid w:val="00156E02"/>
    <w:rsid w:val="00187A8F"/>
    <w:rsid w:val="001B55C9"/>
    <w:rsid w:val="001C22EF"/>
    <w:rsid w:val="001D3221"/>
    <w:rsid w:val="001E5B0F"/>
    <w:rsid w:val="001E7B08"/>
    <w:rsid w:val="001F6F29"/>
    <w:rsid w:val="001F7088"/>
    <w:rsid w:val="001F78F4"/>
    <w:rsid w:val="002038C6"/>
    <w:rsid w:val="00206C66"/>
    <w:rsid w:val="002079EA"/>
    <w:rsid w:val="00210657"/>
    <w:rsid w:val="00214363"/>
    <w:rsid w:val="00234C56"/>
    <w:rsid w:val="002436B8"/>
    <w:rsid w:val="0024557D"/>
    <w:rsid w:val="0024741A"/>
    <w:rsid w:val="00251B51"/>
    <w:rsid w:val="00283BDD"/>
    <w:rsid w:val="00293E25"/>
    <w:rsid w:val="002B7B25"/>
    <w:rsid w:val="002D67FE"/>
    <w:rsid w:val="002D762B"/>
    <w:rsid w:val="002E112E"/>
    <w:rsid w:val="002F65E1"/>
    <w:rsid w:val="00310AB6"/>
    <w:rsid w:val="00340839"/>
    <w:rsid w:val="003424E2"/>
    <w:rsid w:val="00343571"/>
    <w:rsid w:val="003515B6"/>
    <w:rsid w:val="00351E4D"/>
    <w:rsid w:val="00365365"/>
    <w:rsid w:val="003857FE"/>
    <w:rsid w:val="003A0FA3"/>
    <w:rsid w:val="003B78CA"/>
    <w:rsid w:val="003D0AF7"/>
    <w:rsid w:val="003D3441"/>
    <w:rsid w:val="003D7786"/>
    <w:rsid w:val="003E2369"/>
    <w:rsid w:val="003F4089"/>
    <w:rsid w:val="003F75BD"/>
    <w:rsid w:val="00404D7B"/>
    <w:rsid w:val="00413E67"/>
    <w:rsid w:val="00415F2F"/>
    <w:rsid w:val="00423820"/>
    <w:rsid w:val="00434C4C"/>
    <w:rsid w:val="004550CB"/>
    <w:rsid w:val="004778C9"/>
    <w:rsid w:val="004A416F"/>
    <w:rsid w:val="004B5900"/>
    <w:rsid w:val="004B7EDE"/>
    <w:rsid w:val="004D0EBF"/>
    <w:rsid w:val="004D1CD2"/>
    <w:rsid w:val="004E647C"/>
    <w:rsid w:val="004F353D"/>
    <w:rsid w:val="00525D7C"/>
    <w:rsid w:val="00533951"/>
    <w:rsid w:val="0053634D"/>
    <w:rsid w:val="00536E0B"/>
    <w:rsid w:val="00541AC0"/>
    <w:rsid w:val="00546A10"/>
    <w:rsid w:val="00547A01"/>
    <w:rsid w:val="00560212"/>
    <w:rsid w:val="005732EF"/>
    <w:rsid w:val="00576254"/>
    <w:rsid w:val="005951FD"/>
    <w:rsid w:val="005A5B87"/>
    <w:rsid w:val="005B0B24"/>
    <w:rsid w:val="005D7BBA"/>
    <w:rsid w:val="005E2A40"/>
    <w:rsid w:val="005E5934"/>
    <w:rsid w:val="005F0ACF"/>
    <w:rsid w:val="005F2BBD"/>
    <w:rsid w:val="005F3E8F"/>
    <w:rsid w:val="00600AE1"/>
    <w:rsid w:val="00602F95"/>
    <w:rsid w:val="00614E1C"/>
    <w:rsid w:val="006219FF"/>
    <w:rsid w:val="00644B3E"/>
    <w:rsid w:val="006502E2"/>
    <w:rsid w:val="00653444"/>
    <w:rsid w:val="00662E70"/>
    <w:rsid w:val="006719CE"/>
    <w:rsid w:val="00672951"/>
    <w:rsid w:val="00672CD8"/>
    <w:rsid w:val="00692702"/>
    <w:rsid w:val="006931F7"/>
    <w:rsid w:val="00693713"/>
    <w:rsid w:val="006A0DC0"/>
    <w:rsid w:val="006B4FD6"/>
    <w:rsid w:val="006B6100"/>
    <w:rsid w:val="006C6581"/>
    <w:rsid w:val="006C746C"/>
    <w:rsid w:val="00702F9C"/>
    <w:rsid w:val="00706596"/>
    <w:rsid w:val="0071284C"/>
    <w:rsid w:val="00716E8F"/>
    <w:rsid w:val="007323B5"/>
    <w:rsid w:val="00734736"/>
    <w:rsid w:val="007474A2"/>
    <w:rsid w:val="00754CC3"/>
    <w:rsid w:val="007553B8"/>
    <w:rsid w:val="00764F99"/>
    <w:rsid w:val="007777E9"/>
    <w:rsid w:val="007860A6"/>
    <w:rsid w:val="007A4510"/>
    <w:rsid w:val="007B42C0"/>
    <w:rsid w:val="007B58CA"/>
    <w:rsid w:val="007D7B8B"/>
    <w:rsid w:val="008075B3"/>
    <w:rsid w:val="00816767"/>
    <w:rsid w:val="00830CCA"/>
    <w:rsid w:val="008330B2"/>
    <w:rsid w:val="00851061"/>
    <w:rsid w:val="008633C6"/>
    <w:rsid w:val="00877155"/>
    <w:rsid w:val="00882DA6"/>
    <w:rsid w:val="00895C2A"/>
    <w:rsid w:val="008A307A"/>
    <w:rsid w:val="008A3D7F"/>
    <w:rsid w:val="008B386A"/>
    <w:rsid w:val="008C3F56"/>
    <w:rsid w:val="008C67D0"/>
    <w:rsid w:val="008D18C5"/>
    <w:rsid w:val="008D7FB2"/>
    <w:rsid w:val="00904A61"/>
    <w:rsid w:val="009248AC"/>
    <w:rsid w:val="0093668D"/>
    <w:rsid w:val="00941C34"/>
    <w:rsid w:val="00943A81"/>
    <w:rsid w:val="00955B20"/>
    <w:rsid w:val="00957102"/>
    <w:rsid w:val="00962DA9"/>
    <w:rsid w:val="00963249"/>
    <w:rsid w:val="00986DEA"/>
    <w:rsid w:val="009A0C1B"/>
    <w:rsid w:val="009A38F7"/>
    <w:rsid w:val="009A5A84"/>
    <w:rsid w:val="009B3C6B"/>
    <w:rsid w:val="009B4A9B"/>
    <w:rsid w:val="009C1532"/>
    <w:rsid w:val="009D1884"/>
    <w:rsid w:val="009D3C40"/>
    <w:rsid w:val="00A01ED6"/>
    <w:rsid w:val="00A0523F"/>
    <w:rsid w:val="00A13878"/>
    <w:rsid w:val="00A33D47"/>
    <w:rsid w:val="00A4603A"/>
    <w:rsid w:val="00A524D1"/>
    <w:rsid w:val="00A861AE"/>
    <w:rsid w:val="00A95C87"/>
    <w:rsid w:val="00AC0947"/>
    <w:rsid w:val="00AD57CF"/>
    <w:rsid w:val="00B023A9"/>
    <w:rsid w:val="00B231A3"/>
    <w:rsid w:val="00B24AA4"/>
    <w:rsid w:val="00B265AC"/>
    <w:rsid w:val="00B30C05"/>
    <w:rsid w:val="00B30EC7"/>
    <w:rsid w:val="00B46AC0"/>
    <w:rsid w:val="00B70E71"/>
    <w:rsid w:val="00B7636F"/>
    <w:rsid w:val="00B878C7"/>
    <w:rsid w:val="00BA36AB"/>
    <w:rsid w:val="00BB0233"/>
    <w:rsid w:val="00BB4C75"/>
    <w:rsid w:val="00BC3E8D"/>
    <w:rsid w:val="00BD07B1"/>
    <w:rsid w:val="00C05EFA"/>
    <w:rsid w:val="00C06AB7"/>
    <w:rsid w:val="00C24F3F"/>
    <w:rsid w:val="00C3264B"/>
    <w:rsid w:val="00C41126"/>
    <w:rsid w:val="00C506B2"/>
    <w:rsid w:val="00C508D8"/>
    <w:rsid w:val="00C65F40"/>
    <w:rsid w:val="00C812F6"/>
    <w:rsid w:val="00C85451"/>
    <w:rsid w:val="00C91024"/>
    <w:rsid w:val="00CA05A0"/>
    <w:rsid w:val="00CB59B7"/>
    <w:rsid w:val="00CB719A"/>
    <w:rsid w:val="00CD2C78"/>
    <w:rsid w:val="00CD604D"/>
    <w:rsid w:val="00CE78BA"/>
    <w:rsid w:val="00CF1E73"/>
    <w:rsid w:val="00D06109"/>
    <w:rsid w:val="00D171BD"/>
    <w:rsid w:val="00D31925"/>
    <w:rsid w:val="00D731B4"/>
    <w:rsid w:val="00D7677E"/>
    <w:rsid w:val="00D76AC5"/>
    <w:rsid w:val="00D80426"/>
    <w:rsid w:val="00D826A7"/>
    <w:rsid w:val="00DC6683"/>
    <w:rsid w:val="00DF7FB3"/>
    <w:rsid w:val="00E020C1"/>
    <w:rsid w:val="00E44794"/>
    <w:rsid w:val="00E456DF"/>
    <w:rsid w:val="00E47E7B"/>
    <w:rsid w:val="00E517BA"/>
    <w:rsid w:val="00E64E61"/>
    <w:rsid w:val="00E77662"/>
    <w:rsid w:val="00E91428"/>
    <w:rsid w:val="00E966BE"/>
    <w:rsid w:val="00EA4819"/>
    <w:rsid w:val="00EF2D91"/>
    <w:rsid w:val="00F0420D"/>
    <w:rsid w:val="00F15DDF"/>
    <w:rsid w:val="00F31725"/>
    <w:rsid w:val="00F65C75"/>
    <w:rsid w:val="00F860CB"/>
    <w:rsid w:val="00F94442"/>
    <w:rsid w:val="00F95503"/>
    <w:rsid w:val="00F96D26"/>
    <w:rsid w:val="00FC23F7"/>
    <w:rsid w:val="00FC26AF"/>
    <w:rsid w:val="00FC3680"/>
    <w:rsid w:val="00FD05A1"/>
    <w:rsid w:val="00FD2C65"/>
    <w:rsid w:val="00FD3B0A"/>
    <w:rsid w:val="00FF5758"/>
    <w:rsid w:val="137F41C5"/>
    <w:rsid w:val="149F21A6"/>
    <w:rsid w:val="508369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27EC87"/>
  <w15:docId w15:val="{2E0E7F6C-F7AC-4738-B030-E3763F970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pPr>
      <w:autoSpaceDE w:val="0"/>
      <w:autoSpaceDN w:val="0"/>
      <w:adjustRightInd w:val="0"/>
      <w:spacing w:before="36"/>
      <w:ind w:left="120"/>
      <w:jc w:val="left"/>
    </w:pPr>
    <w:rPr>
      <w:rFonts w:ascii="宋体" w:eastAsia="宋体" w:hAnsi="Times New Roman" w:cs="宋体"/>
      <w:kern w:val="0"/>
      <w:sz w:val="24"/>
      <w:szCs w:val="24"/>
    </w:rPr>
  </w:style>
  <w:style w:type="paragraph" w:styleId="a5">
    <w:name w:val="Plain Text"/>
    <w:basedOn w:val="a"/>
    <w:link w:val="a6"/>
    <w:uiPriority w:val="99"/>
    <w:qFormat/>
    <w:pPr>
      <w:adjustRightInd w:val="0"/>
      <w:spacing w:after="120" w:line="300" w:lineRule="auto"/>
      <w:jc w:val="left"/>
      <w:textAlignment w:val="baseline"/>
    </w:pPr>
    <w:rPr>
      <w:rFonts w:ascii="Courier New" w:eastAsia="宋体" w:hAnsi="Courier New" w:cs="Times New Roman"/>
      <w:kern w:val="0"/>
      <w:szCs w:val="20"/>
    </w:rPr>
  </w:style>
  <w:style w:type="paragraph" w:styleId="a7">
    <w:name w:val="footer"/>
    <w:basedOn w:val="a"/>
    <w:link w:val="a8"/>
    <w:uiPriority w:val="99"/>
    <w:unhideWhenUsed/>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table" w:styleId="ab">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页眉 字符"/>
    <w:basedOn w:val="a0"/>
    <w:link w:val="a9"/>
    <w:uiPriority w:val="99"/>
    <w:rPr>
      <w:sz w:val="18"/>
      <w:szCs w:val="18"/>
    </w:rPr>
  </w:style>
  <w:style w:type="character" w:customStyle="1" w:styleId="a8">
    <w:name w:val="页脚 字符"/>
    <w:basedOn w:val="a0"/>
    <w:link w:val="a7"/>
    <w:uiPriority w:val="99"/>
    <w:rPr>
      <w:sz w:val="18"/>
      <w:szCs w:val="18"/>
    </w:rPr>
  </w:style>
  <w:style w:type="character" w:customStyle="1" w:styleId="a6">
    <w:name w:val="纯文本 字符"/>
    <w:basedOn w:val="a0"/>
    <w:link w:val="a5"/>
    <w:uiPriority w:val="99"/>
    <w:qFormat/>
    <w:rPr>
      <w:rFonts w:ascii="Courier New" w:eastAsia="宋体" w:hAnsi="Courier New" w:cs="Times New Roman"/>
      <w:kern w:val="0"/>
      <w:szCs w:val="20"/>
    </w:rPr>
  </w:style>
  <w:style w:type="table" w:customStyle="1" w:styleId="1">
    <w:name w:val="网格型1"/>
    <w:basedOn w:val="a1"/>
    <w:uiPriority w:val="39"/>
    <w:qFormat/>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网格型2"/>
    <w:basedOn w:val="a1"/>
    <w:uiPriority w:val="39"/>
    <w:qFormat/>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正文文本 字符"/>
    <w:basedOn w:val="a0"/>
    <w:link w:val="a3"/>
    <w:uiPriority w:val="1"/>
    <w:qFormat/>
    <w:rPr>
      <w:rFonts w:ascii="宋体" w:eastAsia="宋体" w:hAnsi="Times New Roman" w:cs="宋体"/>
      <w:kern w:val="0"/>
      <w:sz w:val="24"/>
      <w:szCs w:val="24"/>
    </w:rPr>
  </w:style>
  <w:style w:type="paragraph" w:customStyle="1" w:styleId="TableParagraph">
    <w:name w:val="Table Paragraph"/>
    <w:basedOn w:val="a"/>
    <w:uiPriority w:val="1"/>
    <w:qFormat/>
    <w:pPr>
      <w:autoSpaceDE w:val="0"/>
      <w:autoSpaceDN w:val="0"/>
      <w:adjustRightInd w:val="0"/>
      <w:jc w:val="left"/>
    </w:pPr>
    <w:rPr>
      <w:rFonts w:ascii="Times New Roman"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4</Pages>
  <Words>374</Words>
  <Characters>2138</Characters>
  <Application>Microsoft Office Word</Application>
  <DocSecurity>0</DocSecurity>
  <Lines>17</Lines>
  <Paragraphs>5</Paragraphs>
  <ScaleCrop>false</ScaleCrop>
  <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陈锦霞</dc:creator>
  <cp:lastModifiedBy>chen xiao hui</cp:lastModifiedBy>
  <cp:revision>188</cp:revision>
  <dcterms:created xsi:type="dcterms:W3CDTF">2020-04-09T02:20:00Z</dcterms:created>
  <dcterms:modified xsi:type="dcterms:W3CDTF">2026-08-25T08:41:00Z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ies>
</file>