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hint="eastAsia" w:asciiTheme="minorEastAsia" w:hAnsiTheme="minorEastAsia" w:eastAsiaTheme="minorEastAsia"/>
          <w:color w:val="FF0000"/>
          <w:sz w:val="24"/>
        </w:rPr>
      </w:pPr>
      <w:r>
        <w:rPr>
          <w:rFonts w:asciiTheme="minorEastAsia" w:hAnsiTheme="minorEastAsia" w:eastAsiaTheme="minorEastAsia"/>
          <w:sz w:val="24"/>
        </w:rPr>
        <w:t>证券代码：002849          证券简称</w:t>
      </w:r>
      <w:r>
        <w:rPr>
          <w:rFonts w:hint="eastAsia" w:asciiTheme="minorEastAsia" w:hAnsiTheme="minorEastAsia" w:eastAsiaTheme="minorEastAsia"/>
          <w:sz w:val="24"/>
        </w:rPr>
        <w:t xml:space="preserve">：威星智能 </w:t>
      </w:r>
      <w:r>
        <w:rPr>
          <w:rFonts w:asciiTheme="minorEastAsia" w:hAnsiTheme="minorEastAsia" w:eastAsiaTheme="minorEastAsia"/>
          <w:sz w:val="24"/>
        </w:rPr>
        <w:t xml:space="preserve">      </w:t>
      </w:r>
      <w:r>
        <w:rPr>
          <w:rFonts w:hint="eastAsia" w:asciiTheme="minorEastAsia" w:hAnsiTheme="minorEastAsia" w:eastAsiaTheme="minorEastAsia"/>
          <w:sz w:val="24"/>
        </w:rPr>
        <w:t>公告编号：20</w:t>
      </w:r>
      <w:r>
        <w:rPr>
          <w:rFonts w:asciiTheme="minorEastAsia" w:hAnsiTheme="minorEastAsia" w:eastAsiaTheme="minorEastAsia"/>
          <w:sz w:val="24"/>
        </w:rPr>
        <w:t>26-050</w:t>
      </w:r>
    </w:p>
    <w:p>
      <w:pPr>
        <w:spacing w:line="360" w:lineRule="auto"/>
        <w:jc w:val="center"/>
        <w:rPr>
          <w:rFonts w:hint="eastAsia" w:asciiTheme="minorEastAsia" w:hAnsiTheme="minorEastAsia" w:eastAsiaTheme="minorEastAsia"/>
          <w:b/>
          <w:sz w:val="28"/>
          <w:szCs w:val="24"/>
        </w:rPr>
      </w:pPr>
    </w:p>
    <w:p>
      <w:pPr>
        <w:spacing w:line="360" w:lineRule="auto"/>
        <w:jc w:val="center"/>
        <w:rPr>
          <w:rFonts w:hint="eastAsia" w:asciiTheme="minorEastAsia" w:hAnsiTheme="minorEastAsia" w:eastAsiaTheme="minorEastAsia"/>
          <w:b/>
          <w:sz w:val="28"/>
          <w:szCs w:val="24"/>
        </w:rPr>
      </w:pPr>
      <w:r>
        <w:rPr>
          <w:rFonts w:hint="eastAsia" w:asciiTheme="minorEastAsia" w:hAnsiTheme="minorEastAsia" w:eastAsiaTheme="minorEastAsia"/>
          <w:b/>
          <w:sz w:val="28"/>
          <w:szCs w:val="24"/>
        </w:rPr>
        <w:t>浙江威星智能仪表股份有限公司</w:t>
      </w:r>
    </w:p>
    <w:p>
      <w:pPr>
        <w:spacing w:line="360" w:lineRule="auto"/>
        <w:jc w:val="center"/>
        <w:rPr>
          <w:rFonts w:hint="eastAsia" w:asciiTheme="minorEastAsia" w:hAnsiTheme="minorEastAsia" w:eastAsiaTheme="minorEastAsia"/>
          <w:b/>
          <w:sz w:val="28"/>
          <w:szCs w:val="24"/>
        </w:rPr>
      </w:pPr>
      <w:r>
        <w:rPr>
          <w:rFonts w:hint="eastAsia" w:asciiTheme="minorEastAsia" w:hAnsiTheme="minorEastAsia" w:eastAsiaTheme="minorEastAsia"/>
          <w:b/>
          <w:sz w:val="28"/>
          <w:szCs w:val="24"/>
        </w:rPr>
        <w:t>202</w:t>
      </w:r>
      <w:r>
        <w:rPr>
          <w:rFonts w:asciiTheme="minorEastAsia" w:hAnsiTheme="minorEastAsia" w:eastAsiaTheme="minorEastAsia"/>
          <w:b/>
          <w:sz w:val="28"/>
          <w:szCs w:val="24"/>
        </w:rPr>
        <w:t>6</w:t>
      </w:r>
      <w:r>
        <w:rPr>
          <w:rFonts w:hint="eastAsia" w:asciiTheme="minorEastAsia" w:hAnsiTheme="minorEastAsia" w:eastAsiaTheme="minorEastAsia"/>
          <w:b/>
          <w:sz w:val="28"/>
          <w:szCs w:val="24"/>
        </w:rPr>
        <w:t>年半年度募集资金存放与使用情况的专项报告</w:t>
      </w:r>
    </w:p>
    <w:p>
      <w:pPr>
        <w:spacing w:line="360" w:lineRule="auto"/>
        <w:jc w:val="center"/>
        <w:rPr>
          <w:rFonts w:hint="eastAsia" w:asciiTheme="minorEastAsia" w:hAnsiTheme="minorEastAsia" w:eastAsiaTheme="minorEastAsia"/>
          <w:b/>
          <w:sz w:val="24"/>
        </w:rPr>
      </w:pPr>
      <w:r>
        <w:rPr>
          <w:rFonts w:asciiTheme="minorEastAsia" w:hAnsiTheme="minorEastAsia" w:eastAsiaTheme="minorEastAsia"/>
          <w:b/>
          <w:sz w:val="28"/>
        </w:rPr>
        <w:t xml:space="preserve"> </w:t>
      </w:r>
    </w:p>
    <w:p>
      <w:pPr>
        <w:widowControl/>
        <w:pBdr>
          <w:top w:val="single" w:color="auto" w:sz="4" w:space="1"/>
          <w:left w:val="single" w:color="auto" w:sz="4" w:space="4"/>
          <w:bottom w:val="single" w:color="auto" w:sz="4" w:space="1"/>
          <w:right w:val="single" w:color="auto" w:sz="4" w:space="0"/>
        </w:pBdr>
        <w:spacing w:line="360" w:lineRule="auto"/>
        <w:ind w:firstLine="482" w:firstLineChars="200"/>
        <w:rPr>
          <w:rFonts w:hint="eastAsia" w:cs="宋体" w:asciiTheme="minorEastAsia" w:hAnsiTheme="minorEastAsia" w:eastAsiaTheme="minorEastAsia"/>
          <w:b/>
          <w:kern w:val="0"/>
          <w:sz w:val="24"/>
        </w:rPr>
      </w:pPr>
      <w:r>
        <w:rPr>
          <w:rFonts w:hint="eastAsia" w:cs="宋体" w:asciiTheme="minorEastAsia" w:hAnsiTheme="minorEastAsia" w:eastAsiaTheme="minorEastAsia"/>
          <w:b/>
          <w:kern w:val="0"/>
          <w:sz w:val="24"/>
        </w:rPr>
        <w:t>本公司及董事会全体成员</w:t>
      </w:r>
      <w:r>
        <w:rPr>
          <w:rFonts w:cs="宋体" w:asciiTheme="minorEastAsia" w:hAnsiTheme="minorEastAsia" w:eastAsiaTheme="minorEastAsia"/>
          <w:b/>
          <w:kern w:val="0"/>
          <w:sz w:val="24"/>
        </w:rPr>
        <w:t>保证信息披露的内容真实、准确、完整，没有虚假记载、误导性陈述或重大遗漏。</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firstLineChars="200"/>
        <w:jc w:val="left"/>
        <w:rPr>
          <w:rFonts w:hint="eastAsia" w:asciiTheme="minorEastAsia" w:hAnsiTheme="minorEastAsia" w:eastAsiaTheme="minorEastAsia" w:cstheme="minorBidi"/>
          <w:sz w:val="24"/>
          <w:szCs w:val="22"/>
        </w:rPr>
      </w:pPr>
      <w:r>
        <w:rPr>
          <w:rFonts w:hint="eastAsia" w:asciiTheme="minorEastAsia" w:hAnsiTheme="minorEastAsia" w:eastAsiaTheme="minorEastAsia" w:cstheme="minorBidi"/>
          <w:sz w:val="24"/>
          <w:szCs w:val="22"/>
        </w:rPr>
        <w:t>根据中国证券监督管理委员会《上市公司募集资金监管规则》和深圳证券交易所印发的《深圳证券交易所上市公司自律监管指引第1号——主板上市公司规范运作》的规定，现将浙江威星智能仪表股份有限公司（以下简称“公司”）募集资金202</w:t>
      </w:r>
      <w:r>
        <w:rPr>
          <w:rFonts w:asciiTheme="minorEastAsia" w:hAnsiTheme="minorEastAsia" w:eastAsiaTheme="minorEastAsia" w:cstheme="minorBidi"/>
          <w:sz w:val="24"/>
          <w:szCs w:val="22"/>
        </w:rPr>
        <w:t>6</w:t>
      </w:r>
      <w:r>
        <w:rPr>
          <w:rFonts w:hint="eastAsia" w:asciiTheme="minorEastAsia" w:hAnsiTheme="minorEastAsia" w:eastAsiaTheme="minorEastAsia" w:cstheme="minorBidi"/>
          <w:sz w:val="24"/>
          <w:szCs w:val="22"/>
        </w:rPr>
        <w:t>年半年度存放与使用情况专项说明如下。</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2" w:firstLineChars="200"/>
        <w:jc w:val="lef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一、募集资金基本情况</w:t>
      </w:r>
    </w:p>
    <w:p>
      <w:pPr>
        <w:spacing w:before="50" w:after="50" w:line="360" w:lineRule="auto"/>
        <w:ind w:left="480"/>
        <w:rPr>
          <w:rFonts w:hint="eastAsia" w:asciiTheme="minorEastAsia" w:hAnsiTheme="minorEastAsia" w:eastAsiaTheme="minorEastAsia"/>
          <w:b/>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(一) 实际募集资金金额和资金到账时间</w:t>
      </w:r>
    </w:p>
    <w:p>
      <w:pPr>
        <w:spacing w:before="156" w:beforeLines="50" w:after="156" w:afterLines="50" w:line="360" w:lineRule="auto"/>
        <w:ind w:firstLine="480" w:firstLineChars="200"/>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经中国证券监督管理委员会《关于核准浙江威星智能仪表股份有限公司非公开发行股票的批复》（证监许可[2022]1133号）核准，公司采用非公开发行股票的方式向特定投资者发行人民币普通股25,275,376股，募集资金总额为人民币379,383,393.76元，扣除发行费用（不含增值税）人民币7,193,656.02元后，实际募集资金净额为人民币372,189,737.74元。</w:t>
      </w:r>
    </w:p>
    <w:p>
      <w:pPr>
        <w:spacing w:before="156" w:beforeLines="50" w:after="156" w:afterLines="50" w:line="360" w:lineRule="auto"/>
        <w:ind w:firstLine="480" w:firstLineChars="200"/>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上述募集资金到账后，天健会计师事务所（特殊普通合伙）于2022年11月2日对公司非公开发行股票的募集资金到位情况进行了审验，并出具了《验资报告》（天健验[2022]577）。上述募集资金已经全部存放于募集资金专户管理，并与保荐机构、存放募集资金的银行签订了募集资金监管协议。</w:t>
      </w:r>
    </w:p>
    <w:p>
      <w:pPr>
        <w:numPr>
          <w:ilvl w:val="0"/>
          <w:numId w:val="1"/>
        </w:numPr>
        <w:spacing w:before="156" w:beforeLines="50" w:after="156" w:afterLines="50" w:line="360" w:lineRule="auto"/>
        <w:ind w:firstLine="482" w:firstLineChars="200"/>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募集资金使用和结余情况</w:t>
      </w:r>
    </w:p>
    <w:p>
      <w:pPr>
        <w:spacing w:before="156" w:beforeLines="50" w:after="156" w:afterLines="50" w:line="360" w:lineRule="auto"/>
        <w:ind w:firstLine="480" w:firstLineChars="200"/>
        <w:jc w:val="left"/>
        <w:rPr>
          <w:rFonts w:hint="eastAsia" w:asciiTheme="minorEastAsia" w:hAnsiTheme="minorEastAsia" w:eastAsia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sz w:val="24"/>
          <w:szCs w:val="24"/>
        </w:rPr>
        <w:t>截至202</w:t>
      </w:r>
      <w:r>
        <w:rPr>
          <w:rFonts w:asciiTheme="minorEastAsia" w:hAnsiTheme="minorEastAsia" w:eastAsiaTheme="minorEastAsia"/>
          <w:sz w:val="24"/>
          <w:szCs w:val="24"/>
        </w:rPr>
        <w:t>6</w:t>
      </w:r>
      <w:r>
        <w:rPr>
          <w:rFonts w:hint="eastAsia" w:asciiTheme="minorEastAsia" w:hAnsiTheme="minorEastAsia" w:eastAsiaTheme="minorEastAsia"/>
          <w:sz w:val="24"/>
          <w:szCs w:val="24"/>
        </w:rPr>
        <w:t>年6月30日，</w:t>
      </w:r>
      <w:r>
        <w:rPr>
          <w:rFonts w:hint="eastAsia" w:asciiTheme="minorEastAsia" w:hAnsiTheme="minorEastAsia" w:eastAsiaTheme="minorEastAsia"/>
          <w:sz w:val="24"/>
        </w:rPr>
        <w:t>公司募集资金使用情况如下</w:t>
      </w:r>
      <w:r>
        <w:rPr>
          <w:rFonts w:hint="eastAsia" w:asciiTheme="minorEastAsia" w:hAnsiTheme="minorEastAsia" w:eastAsiaTheme="minorEastAsia"/>
          <w:sz w:val="24"/>
          <w:lang w:eastAsia="zh-CN"/>
        </w:rPr>
        <w:t>：</w:t>
      </w:r>
    </w:p>
    <w:p>
      <w:pPr>
        <w:spacing w:before="156" w:beforeLines="50" w:after="156" w:afterLines="50" w:line="360" w:lineRule="auto"/>
        <w:ind w:firstLine="480" w:firstLineChars="200"/>
        <w:jc w:val="righ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金额单位：人民币万元</w:t>
      </w:r>
    </w:p>
    <w:tbl>
      <w:tblPr>
        <w:tblStyle w:val="9"/>
        <w:tblW w:w="5000" w:type="pct"/>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246"/>
        <w:gridCol w:w="2422"/>
        <w:gridCol w:w="1426"/>
        <w:gridCol w:w="2422"/>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2741" w:type="pct"/>
            <w:gridSpan w:val="2"/>
            <w:vAlign w:val="center"/>
          </w:tcPr>
          <w:p>
            <w:pPr>
              <w:adjustRightInd w:val="0"/>
              <w:ind w:firstLine="210" w:firstLineChars="1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项</w:t>
            </w:r>
            <w:r>
              <w:rPr>
                <w:rFonts w:cs="宋体" w:asciiTheme="minorEastAsia" w:hAnsiTheme="minorEastAsia" w:eastAsiaTheme="minorEastAsia"/>
                <w:kern w:val="0"/>
                <w:szCs w:val="21"/>
              </w:rPr>
              <w:t xml:space="preserve">  目</w:t>
            </w:r>
          </w:p>
        </w:tc>
        <w:tc>
          <w:tcPr>
            <w:tcW w:w="837" w:type="pct"/>
            <w:vAlign w:val="center"/>
          </w:tcPr>
          <w:p>
            <w:pPr>
              <w:adjustRightInd w:val="0"/>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序号</w:t>
            </w:r>
          </w:p>
        </w:tc>
        <w:tc>
          <w:tcPr>
            <w:tcW w:w="1422" w:type="pct"/>
            <w:vAlign w:val="center"/>
          </w:tcPr>
          <w:p>
            <w:pPr>
              <w:adjustRightInd w:val="0"/>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金  额</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41" w:type="pct"/>
            <w:gridSpan w:val="2"/>
            <w:vAlign w:val="center"/>
          </w:tcPr>
          <w:p>
            <w:pPr>
              <w:adjustRightInd w:val="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募集资金净额</w:t>
            </w:r>
          </w:p>
        </w:tc>
        <w:tc>
          <w:tcPr>
            <w:tcW w:w="837" w:type="pct"/>
            <w:vAlign w:val="center"/>
          </w:tcPr>
          <w:p>
            <w:pPr>
              <w:adjustRightInd w:val="0"/>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A</w:t>
            </w:r>
          </w:p>
        </w:tc>
        <w:tc>
          <w:tcPr>
            <w:tcW w:w="1422" w:type="pct"/>
            <w:vAlign w:val="center"/>
          </w:tcPr>
          <w:p>
            <w:pPr>
              <w:widowControl/>
              <w:jc w:val="right"/>
              <w:textAlignment w:val="center"/>
              <w:rPr>
                <w:rFonts w:hint="eastAsia" w:cs="宋体" w:asciiTheme="minorEastAsia" w:hAnsiTheme="minorEastAsia" w:eastAsiaTheme="minorEastAsia"/>
                <w:color w:val="000000"/>
                <w:szCs w:val="21"/>
                <w:highlight w:val="yellow"/>
              </w:rPr>
            </w:pPr>
            <w:r>
              <w:rPr>
                <w:rFonts w:cs="宋体" w:asciiTheme="minorEastAsia" w:hAnsiTheme="minorEastAsia" w:eastAsiaTheme="minorEastAsia"/>
                <w:color w:val="000000"/>
                <w:szCs w:val="21"/>
              </w:rPr>
              <w:t>37,218.97</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19" w:type="pct"/>
            <w:vMerge w:val="restart"/>
            <w:vAlign w:val="center"/>
          </w:tcPr>
          <w:p>
            <w:pPr>
              <w:adjustRightInd w:val="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截至期初累计发生额</w:t>
            </w:r>
          </w:p>
        </w:tc>
        <w:tc>
          <w:tcPr>
            <w:tcW w:w="1422" w:type="pct"/>
            <w:vAlign w:val="center"/>
          </w:tcPr>
          <w:p>
            <w:pPr>
              <w:adjustRightInd w:val="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项目投入</w:t>
            </w:r>
          </w:p>
        </w:tc>
        <w:tc>
          <w:tcPr>
            <w:tcW w:w="837" w:type="pct"/>
            <w:vAlign w:val="center"/>
          </w:tcPr>
          <w:p>
            <w:pPr>
              <w:adjustRightInd w:val="0"/>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B1</w:t>
            </w:r>
          </w:p>
        </w:tc>
        <w:tc>
          <w:tcPr>
            <w:tcW w:w="1422" w:type="pct"/>
            <w:vAlign w:val="center"/>
          </w:tcPr>
          <w:p>
            <w:pPr>
              <w:widowControl/>
              <w:jc w:val="right"/>
              <w:textAlignment w:val="center"/>
              <w:rPr>
                <w:rFonts w:hint="eastAsia" w:cs="宋体" w:asciiTheme="minorEastAsia" w:hAnsiTheme="minorEastAsia" w:eastAsiaTheme="minorEastAsia"/>
                <w:kern w:val="0"/>
                <w:szCs w:val="21"/>
                <w:highlight w:val="yellow"/>
              </w:rPr>
            </w:pPr>
            <w:r>
              <w:rPr>
                <w:rFonts w:cs="宋体" w:asciiTheme="minorEastAsia" w:hAnsiTheme="minorEastAsia" w:eastAsiaTheme="minorEastAsia"/>
                <w:kern w:val="0"/>
                <w:szCs w:val="21"/>
              </w:rPr>
              <w:t>17,755.96</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19" w:type="pct"/>
            <w:vMerge w:val="continue"/>
            <w:vAlign w:val="center"/>
          </w:tcPr>
          <w:p>
            <w:pPr>
              <w:adjustRightInd w:val="0"/>
              <w:jc w:val="left"/>
              <w:rPr>
                <w:rFonts w:hint="eastAsia" w:cs="宋体" w:asciiTheme="minorEastAsia" w:hAnsiTheme="minorEastAsia" w:eastAsiaTheme="minorEastAsia"/>
                <w:kern w:val="0"/>
                <w:szCs w:val="21"/>
              </w:rPr>
            </w:pPr>
          </w:p>
        </w:tc>
        <w:tc>
          <w:tcPr>
            <w:tcW w:w="1422" w:type="pct"/>
            <w:vAlign w:val="center"/>
          </w:tcPr>
          <w:p>
            <w:pPr>
              <w:adjustRightInd w:val="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利息收入净额</w:t>
            </w:r>
          </w:p>
        </w:tc>
        <w:tc>
          <w:tcPr>
            <w:tcW w:w="837" w:type="pct"/>
            <w:vAlign w:val="center"/>
          </w:tcPr>
          <w:p>
            <w:pPr>
              <w:adjustRightInd w:val="0"/>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B2</w:t>
            </w:r>
          </w:p>
        </w:tc>
        <w:tc>
          <w:tcPr>
            <w:tcW w:w="1422" w:type="pct"/>
            <w:vAlign w:val="center"/>
          </w:tcPr>
          <w:p>
            <w:pPr>
              <w:widowControl/>
              <w:jc w:val="right"/>
              <w:textAlignment w:val="center"/>
              <w:rPr>
                <w:rFonts w:hint="eastAsia" w:cs="宋体" w:asciiTheme="minorEastAsia" w:hAnsiTheme="minorEastAsia" w:eastAsiaTheme="minorEastAsia"/>
                <w:kern w:val="0"/>
                <w:szCs w:val="21"/>
                <w:highlight w:val="yellow"/>
              </w:rPr>
            </w:pPr>
            <w:r>
              <w:rPr>
                <w:rFonts w:cs="宋体" w:asciiTheme="minorEastAsia" w:hAnsiTheme="minorEastAsia" w:eastAsiaTheme="minorEastAsia"/>
                <w:kern w:val="0"/>
                <w:szCs w:val="21"/>
              </w:rPr>
              <w:t>1,142.32</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19" w:type="pct"/>
            <w:vMerge w:val="restart"/>
            <w:vAlign w:val="center"/>
          </w:tcPr>
          <w:p>
            <w:pPr>
              <w:adjustRightInd w:val="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本期发生额</w:t>
            </w:r>
          </w:p>
        </w:tc>
        <w:tc>
          <w:tcPr>
            <w:tcW w:w="1422" w:type="pct"/>
            <w:vAlign w:val="center"/>
          </w:tcPr>
          <w:p>
            <w:pPr>
              <w:adjustRightInd w:val="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项目投入</w:t>
            </w:r>
          </w:p>
        </w:tc>
        <w:tc>
          <w:tcPr>
            <w:tcW w:w="837" w:type="pct"/>
            <w:vAlign w:val="center"/>
          </w:tcPr>
          <w:p>
            <w:pPr>
              <w:adjustRightInd w:val="0"/>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C1</w:t>
            </w:r>
          </w:p>
        </w:tc>
        <w:tc>
          <w:tcPr>
            <w:tcW w:w="1422" w:type="pct"/>
            <w:vAlign w:val="center"/>
          </w:tcPr>
          <w:p>
            <w:pPr>
              <w:widowControl/>
              <w:jc w:val="right"/>
              <w:textAlignment w:val="center"/>
              <w:rPr>
                <w:rFonts w:hint="eastAsia" w:cs="宋体" w:asciiTheme="minorEastAsia" w:hAnsiTheme="minorEastAsia" w:eastAsiaTheme="minorEastAsia"/>
                <w:color w:val="000000"/>
                <w:kern w:val="0"/>
                <w:szCs w:val="21"/>
                <w:highlight w:val="yellow"/>
                <w:lang w:bidi="ar"/>
              </w:rPr>
            </w:pPr>
            <w:r>
              <w:rPr>
                <w:rFonts w:cs="宋体" w:asciiTheme="minorEastAsia" w:hAnsiTheme="minorEastAsia" w:eastAsiaTheme="minorEastAsia"/>
                <w:color w:val="000000"/>
                <w:kern w:val="0"/>
                <w:szCs w:val="21"/>
                <w:lang w:bidi="ar"/>
              </w:rPr>
              <w:t>4,428.88</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19" w:type="pct"/>
            <w:vMerge w:val="continue"/>
            <w:vAlign w:val="center"/>
          </w:tcPr>
          <w:p>
            <w:pPr>
              <w:adjustRightInd w:val="0"/>
              <w:jc w:val="left"/>
              <w:rPr>
                <w:rFonts w:hint="eastAsia" w:cs="宋体" w:asciiTheme="minorEastAsia" w:hAnsiTheme="minorEastAsia" w:eastAsiaTheme="minorEastAsia"/>
                <w:kern w:val="0"/>
                <w:szCs w:val="21"/>
              </w:rPr>
            </w:pPr>
          </w:p>
        </w:tc>
        <w:tc>
          <w:tcPr>
            <w:tcW w:w="1422" w:type="pct"/>
            <w:vAlign w:val="center"/>
          </w:tcPr>
          <w:p>
            <w:pPr>
              <w:adjustRightInd w:val="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利息收入净额</w:t>
            </w:r>
          </w:p>
        </w:tc>
        <w:tc>
          <w:tcPr>
            <w:tcW w:w="837" w:type="pct"/>
            <w:vAlign w:val="center"/>
          </w:tcPr>
          <w:p>
            <w:pPr>
              <w:adjustRightInd w:val="0"/>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C2</w:t>
            </w:r>
          </w:p>
        </w:tc>
        <w:tc>
          <w:tcPr>
            <w:tcW w:w="1422" w:type="pct"/>
            <w:vAlign w:val="center"/>
          </w:tcPr>
          <w:p>
            <w:pPr>
              <w:widowControl/>
              <w:jc w:val="right"/>
              <w:textAlignment w:val="center"/>
              <w:rPr>
                <w:rFonts w:hint="eastAsia" w:cs="宋体" w:asciiTheme="minorEastAsia" w:hAnsiTheme="minorEastAsia" w:eastAsiaTheme="minorEastAsia"/>
                <w:color w:val="000000"/>
                <w:kern w:val="0"/>
                <w:szCs w:val="21"/>
                <w:lang w:bidi="ar"/>
              </w:rPr>
            </w:pPr>
            <w:r>
              <w:rPr>
                <w:rFonts w:hint="eastAsia" w:cs="宋体" w:asciiTheme="minorEastAsia" w:hAnsiTheme="minorEastAsia" w:eastAsiaTheme="minorEastAsia"/>
                <w:color w:val="000000"/>
                <w:kern w:val="0"/>
                <w:szCs w:val="21"/>
                <w:lang w:bidi="ar"/>
              </w:rPr>
              <w:t>50.16</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19" w:type="pct"/>
            <w:vMerge w:val="restart"/>
            <w:vAlign w:val="center"/>
          </w:tcPr>
          <w:p>
            <w:pPr>
              <w:adjustRightInd w:val="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截至期末累计发生额</w:t>
            </w:r>
          </w:p>
        </w:tc>
        <w:tc>
          <w:tcPr>
            <w:tcW w:w="1422" w:type="pct"/>
            <w:vAlign w:val="center"/>
          </w:tcPr>
          <w:p>
            <w:pPr>
              <w:adjustRightInd w:val="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项目投入</w:t>
            </w:r>
          </w:p>
        </w:tc>
        <w:tc>
          <w:tcPr>
            <w:tcW w:w="837" w:type="pct"/>
            <w:vAlign w:val="center"/>
          </w:tcPr>
          <w:p>
            <w:pPr>
              <w:adjustRightInd w:val="0"/>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D1=B1+C1</w:t>
            </w:r>
          </w:p>
        </w:tc>
        <w:tc>
          <w:tcPr>
            <w:tcW w:w="1422" w:type="pct"/>
            <w:vAlign w:val="center"/>
          </w:tcPr>
          <w:p>
            <w:pPr>
              <w:widowControl/>
              <w:jc w:val="right"/>
              <w:textAlignment w:val="center"/>
              <w:rPr>
                <w:rFonts w:hint="eastAsia" w:cs="宋体" w:asciiTheme="minorEastAsia" w:hAnsiTheme="minorEastAsia" w:eastAsiaTheme="minorEastAsia"/>
                <w:color w:val="000000"/>
                <w:kern w:val="0"/>
                <w:szCs w:val="21"/>
                <w:lang w:bidi="ar"/>
              </w:rPr>
            </w:pPr>
            <w:r>
              <w:rPr>
                <w:rFonts w:hint="eastAsia" w:cs="宋体" w:asciiTheme="minorEastAsia" w:hAnsiTheme="minorEastAsia" w:eastAsiaTheme="minorEastAsia"/>
                <w:color w:val="000000"/>
                <w:kern w:val="0"/>
                <w:szCs w:val="21"/>
                <w:lang w:bidi="ar"/>
              </w:rPr>
              <w:t>22,184.84</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19" w:type="pct"/>
            <w:vMerge w:val="continue"/>
            <w:vAlign w:val="center"/>
          </w:tcPr>
          <w:p>
            <w:pPr>
              <w:adjustRightInd w:val="0"/>
              <w:jc w:val="left"/>
              <w:rPr>
                <w:rFonts w:hint="eastAsia" w:cs="宋体" w:asciiTheme="minorEastAsia" w:hAnsiTheme="minorEastAsia" w:eastAsiaTheme="minorEastAsia"/>
                <w:kern w:val="0"/>
                <w:szCs w:val="21"/>
              </w:rPr>
            </w:pPr>
          </w:p>
        </w:tc>
        <w:tc>
          <w:tcPr>
            <w:tcW w:w="1422" w:type="pct"/>
            <w:vAlign w:val="center"/>
          </w:tcPr>
          <w:p>
            <w:pPr>
              <w:adjustRightInd w:val="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利息收入净额</w:t>
            </w:r>
          </w:p>
        </w:tc>
        <w:tc>
          <w:tcPr>
            <w:tcW w:w="837" w:type="pct"/>
            <w:vAlign w:val="center"/>
          </w:tcPr>
          <w:p>
            <w:pPr>
              <w:adjustRightInd w:val="0"/>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D2=B2+C2</w:t>
            </w:r>
          </w:p>
        </w:tc>
        <w:tc>
          <w:tcPr>
            <w:tcW w:w="1422" w:type="pct"/>
            <w:vAlign w:val="center"/>
          </w:tcPr>
          <w:p>
            <w:pPr>
              <w:widowControl/>
              <w:jc w:val="right"/>
              <w:textAlignment w:val="center"/>
              <w:rPr>
                <w:rFonts w:hint="eastAsia" w:cs="宋体" w:asciiTheme="minorEastAsia" w:hAnsiTheme="minorEastAsia" w:eastAsiaTheme="minorEastAsia"/>
                <w:color w:val="000000"/>
                <w:kern w:val="0"/>
                <w:szCs w:val="21"/>
                <w:lang w:bidi="ar"/>
              </w:rPr>
            </w:pPr>
            <w:r>
              <w:rPr>
                <w:rFonts w:hint="eastAsia" w:cs="宋体" w:asciiTheme="minorEastAsia" w:hAnsiTheme="minorEastAsia" w:eastAsiaTheme="minorEastAsia"/>
                <w:color w:val="000000"/>
                <w:kern w:val="0"/>
                <w:szCs w:val="21"/>
                <w:lang w:bidi="ar"/>
              </w:rPr>
              <w:t>1,192.48</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41" w:type="pct"/>
            <w:gridSpan w:val="2"/>
            <w:vAlign w:val="center"/>
          </w:tcPr>
          <w:p>
            <w:pPr>
              <w:adjustRightInd w:val="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应结余募集资金</w:t>
            </w:r>
          </w:p>
        </w:tc>
        <w:tc>
          <w:tcPr>
            <w:tcW w:w="837" w:type="pct"/>
            <w:vAlign w:val="center"/>
          </w:tcPr>
          <w:p>
            <w:pPr>
              <w:adjustRightInd w:val="0"/>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E=A-D1+D2</w:t>
            </w:r>
          </w:p>
        </w:tc>
        <w:tc>
          <w:tcPr>
            <w:tcW w:w="1422" w:type="pct"/>
            <w:vAlign w:val="center"/>
          </w:tcPr>
          <w:p>
            <w:pPr>
              <w:widowControl/>
              <w:jc w:val="right"/>
              <w:textAlignment w:val="center"/>
              <w:rPr>
                <w:rFonts w:hint="eastAsia" w:cs="宋体" w:asciiTheme="minorEastAsia" w:hAnsiTheme="minorEastAsia" w:eastAsiaTheme="minorEastAsia"/>
                <w:color w:val="000000"/>
                <w:kern w:val="0"/>
                <w:szCs w:val="21"/>
                <w:lang w:bidi="ar"/>
              </w:rPr>
            </w:pPr>
            <w:r>
              <w:rPr>
                <w:rFonts w:hint="eastAsia" w:cs="宋体" w:asciiTheme="minorEastAsia" w:hAnsiTheme="minorEastAsia" w:eastAsiaTheme="minorEastAsia"/>
                <w:color w:val="000000"/>
                <w:kern w:val="0"/>
                <w:szCs w:val="21"/>
                <w:lang w:bidi="ar"/>
              </w:rPr>
              <w:t>16,226.61</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41" w:type="pct"/>
            <w:gridSpan w:val="2"/>
            <w:vAlign w:val="center"/>
          </w:tcPr>
          <w:p>
            <w:pPr>
              <w:adjustRightInd w:val="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实际结余募集资金</w:t>
            </w:r>
          </w:p>
        </w:tc>
        <w:tc>
          <w:tcPr>
            <w:tcW w:w="837" w:type="pct"/>
            <w:vAlign w:val="center"/>
          </w:tcPr>
          <w:p>
            <w:pPr>
              <w:adjustRightInd w:val="0"/>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F</w:t>
            </w:r>
          </w:p>
        </w:tc>
        <w:tc>
          <w:tcPr>
            <w:tcW w:w="1422" w:type="pct"/>
            <w:vAlign w:val="center"/>
          </w:tcPr>
          <w:p>
            <w:pPr>
              <w:widowControl/>
              <w:jc w:val="right"/>
              <w:textAlignment w:val="center"/>
              <w:rPr>
                <w:rFonts w:hint="eastAsia" w:cs="宋体" w:asciiTheme="minorEastAsia" w:hAnsiTheme="minorEastAsia" w:eastAsiaTheme="minorEastAsia"/>
                <w:color w:val="000000"/>
                <w:kern w:val="0"/>
                <w:szCs w:val="21"/>
                <w:lang w:bidi="ar"/>
              </w:rPr>
            </w:pPr>
            <w:r>
              <w:rPr>
                <w:rFonts w:hint="eastAsia" w:cs="宋体" w:asciiTheme="minorEastAsia" w:hAnsiTheme="minorEastAsia" w:eastAsiaTheme="minorEastAsia"/>
                <w:color w:val="000000"/>
                <w:kern w:val="0"/>
                <w:szCs w:val="21"/>
                <w:lang w:bidi="ar"/>
              </w:rPr>
              <w:t>16,226.61</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41" w:type="pct"/>
            <w:gridSpan w:val="2"/>
            <w:vAlign w:val="center"/>
          </w:tcPr>
          <w:p>
            <w:pPr>
              <w:adjustRightInd w:val="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差异</w:t>
            </w:r>
          </w:p>
        </w:tc>
        <w:tc>
          <w:tcPr>
            <w:tcW w:w="837" w:type="pct"/>
            <w:vAlign w:val="center"/>
          </w:tcPr>
          <w:p>
            <w:pPr>
              <w:adjustRightInd w:val="0"/>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G=E-F</w:t>
            </w:r>
          </w:p>
        </w:tc>
        <w:tc>
          <w:tcPr>
            <w:tcW w:w="1422" w:type="pct"/>
            <w:vAlign w:val="center"/>
          </w:tcPr>
          <w:p>
            <w:pPr>
              <w:widowControl/>
              <w:jc w:val="right"/>
              <w:textAlignment w:val="center"/>
              <w:rPr>
                <w:rFonts w:hint="eastAsia" w:cs="宋体" w:asciiTheme="minorEastAsia" w:hAnsiTheme="minorEastAsia" w:eastAsiaTheme="minorEastAsia"/>
                <w:color w:val="000000"/>
                <w:kern w:val="0"/>
                <w:szCs w:val="21"/>
                <w:lang w:bidi="ar"/>
              </w:rPr>
            </w:pPr>
            <w:r>
              <w:rPr>
                <w:rFonts w:hint="eastAsia" w:cs="宋体" w:asciiTheme="minorEastAsia" w:hAnsiTheme="minorEastAsia" w:eastAsiaTheme="minorEastAsia"/>
                <w:color w:val="000000"/>
                <w:kern w:val="0"/>
                <w:szCs w:val="21"/>
                <w:lang w:bidi="ar"/>
              </w:rPr>
              <w:t>-</w:t>
            </w:r>
          </w:p>
        </w:tc>
      </w:tr>
    </w:tbl>
    <w:p>
      <w:pPr>
        <w:spacing w:line="360" w:lineRule="auto"/>
        <w:ind w:firstLine="420" w:firstLineChars="200"/>
        <w:rPr>
          <w:rFonts w:hint="eastAsia" w:asciiTheme="minorEastAsia" w:hAnsiTheme="minorEastAsia" w:eastAsiaTheme="minorEastAsia"/>
          <w:szCs w:val="21"/>
        </w:rPr>
      </w:pPr>
    </w:p>
    <w:p>
      <w:pPr>
        <w:spacing w:before="156" w:beforeLines="50" w:after="156" w:afterLines="50" w:line="360" w:lineRule="auto"/>
        <w:ind w:firstLine="482" w:firstLineChars="200"/>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二、募集资金存放和管理情况</w:t>
      </w:r>
    </w:p>
    <w:p>
      <w:pPr>
        <w:spacing w:before="156" w:beforeLines="50" w:after="156" w:afterLines="50" w:line="360" w:lineRule="auto"/>
        <w:ind w:firstLine="482" w:firstLineChars="200"/>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(一) 募集资金管理情况</w:t>
      </w:r>
    </w:p>
    <w:p>
      <w:pPr>
        <w:spacing w:before="156" w:beforeLines="50" w:after="156" w:afterLines="50"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为了规范募集资金的管理和使用，提高资金使用效率和效益，保护投资者权益，本公司按照《中华人民共和国公司法》《中华人民共和国证券法》等法律法规，结合公司实际情况，制定了《浙江威星智能仪表股份有限公司募集资金管理制度》（以下简称《管理制度》）。</w:t>
      </w:r>
    </w:p>
    <w:p>
      <w:pPr>
        <w:spacing w:before="50" w:after="50"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szCs w:val="24"/>
        </w:rPr>
        <w:t>根据《管理制度》，本公司对募集资金实行专户存储，在银行设立募集资金专户，并连同全资子公司杭州威星数联技术有限公司、保荐机构东吴证券股份有限公司与上海浦东发展银行股份有限公司杭州分行签订了《募集资金四方监管协议》，明确了各方的权利和义务。四方监管协议与深圳证券交易所四方监管协议范本不存在重大差异，</w:t>
      </w:r>
      <w:r>
        <w:rPr>
          <w:rFonts w:asciiTheme="minorEastAsia" w:hAnsiTheme="minorEastAsia" w:eastAsiaTheme="minorEastAsia"/>
          <w:sz w:val="24"/>
          <w:szCs w:val="24"/>
        </w:rPr>
        <w:t>本公司在使用募集资金时已经严格遵照履行</w:t>
      </w:r>
      <w:r>
        <w:rPr>
          <w:rFonts w:hint="eastAsia" w:asciiTheme="minorEastAsia" w:hAnsiTheme="minorEastAsia" w:eastAsiaTheme="minorEastAsia"/>
          <w:sz w:val="24"/>
        </w:rPr>
        <w:t>，以便于募集资金的管理和使用以及对其使用情况进行监督，保证专款专用。</w:t>
      </w:r>
    </w:p>
    <w:p>
      <w:pPr>
        <w:spacing w:before="156" w:beforeLines="50" w:after="156" w:afterLines="50" w:line="360" w:lineRule="auto"/>
        <w:ind w:firstLine="482" w:firstLineChars="200"/>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 (二) 募集资金专户存储情况</w:t>
      </w:r>
    </w:p>
    <w:p>
      <w:pPr>
        <w:spacing w:before="156" w:beforeLines="50" w:after="156" w:afterLines="50"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公司第六届董事会第七次会议及2</w:t>
      </w:r>
      <w:r>
        <w:rPr>
          <w:rFonts w:asciiTheme="minorEastAsia" w:hAnsiTheme="minorEastAsia" w:eastAsiaTheme="minorEastAsia"/>
          <w:sz w:val="24"/>
          <w:szCs w:val="24"/>
        </w:rPr>
        <w:t>026年第二次临时股东会，分别审议通过了《关于变更部分募集资金用途的议案》，同意将“智能计量表具终端未来工厂建设项目”和“智慧城市先进计量及系统产业研发中心建设项目”变更为“新一代智慧能源终端智能制造基地建设项目”</w:t>
      </w:r>
      <w:r>
        <w:rPr>
          <w:rFonts w:hint="eastAsia" w:asciiTheme="minorEastAsia" w:hAnsiTheme="minorEastAsia" w:eastAsiaTheme="minorEastAsia"/>
          <w:sz w:val="24"/>
          <w:szCs w:val="24"/>
        </w:rPr>
        <w:t>，鉴于此，上海浦东发展银行股份有限公司杭州分行募集资金专用账户</w:t>
      </w:r>
      <w:r>
        <w:rPr>
          <w:rFonts w:asciiTheme="minorEastAsia" w:hAnsiTheme="minorEastAsia" w:eastAsiaTheme="minorEastAsia"/>
          <w:sz w:val="24"/>
          <w:szCs w:val="24"/>
        </w:rPr>
        <w:t>95200078801000003622及</w:t>
      </w:r>
      <w:r>
        <w:rPr>
          <w:rFonts w:hint="eastAsia" w:asciiTheme="minorEastAsia" w:hAnsiTheme="minorEastAsia" w:eastAsiaTheme="minorEastAsia"/>
          <w:sz w:val="24"/>
          <w:szCs w:val="24"/>
        </w:rPr>
        <w:t>杭州银行股份有限公司科技支行募集资金专用账户</w:t>
      </w:r>
      <w:r>
        <w:rPr>
          <w:rFonts w:asciiTheme="minorEastAsia" w:hAnsiTheme="minorEastAsia" w:eastAsiaTheme="minorEastAsia"/>
          <w:sz w:val="24"/>
          <w:szCs w:val="24"/>
        </w:rPr>
        <w:t>3301040160021988475</w:t>
      </w:r>
      <w:r>
        <w:rPr>
          <w:rFonts w:hint="eastAsia" w:asciiTheme="minorEastAsia" w:hAnsiTheme="minorEastAsia" w:eastAsiaTheme="minorEastAsia"/>
          <w:sz w:val="24"/>
          <w:szCs w:val="24"/>
        </w:rPr>
        <w:t>不再使用</w:t>
      </w:r>
      <w:r>
        <w:rPr>
          <w:rFonts w:asciiTheme="minorEastAsia" w:hAnsiTheme="minorEastAsia" w:eastAsiaTheme="minorEastAsia"/>
          <w:sz w:val="24"/>
          <w:szCs w:val="24"/>
        </w:rPr>
        <w:t>，公司</w:t>
      </w:r>
      <w:r>
        <w:rPr>
          <w:rFonts w:hint="eastAsia" w:asciiTheme="minorEastAsia" w:hAnsiTheme="minorEastAsia" w:eastAsiaTheme="minorEastAsia"/>
          <w:sz w:val="24"/>
          <w:szCs w:val="24"/>
        </w:rPr>
        <w:t>2</w:t>
      </w:r>
      <w:r>
        <w:rPr>
          <w:rFonts w:asciiTheme="minorEastAsia" w:hAnsiTheme="minorEastAsia" w:eastAsiaTheme="minorEastAsia"/>
          <w:sz w:val="24"/>
          <w:szCs w:val="24"/>
        </w:rPr>
        <w:t>026年</w:t>
      </w:r>
      <w:r>
        <w:rPr>
          <w:rFonts w:hint="eastAsia" w:asciiTheme="minorEastAsia" w:hAnsiTheme="minorEastAsia" w:eastAsiaTheme="minorEastAsia"/>
          <w:sz w:val="24"/>
          <w:szCs w:val="24"/>
        </w:rPr>
        <w:t>6月已将该账户注销，截至202</w:t>
      </w:r>
      <w:r>
        <w:rPr>
          <w:rFonts w:asciiTheme="minorEastAsia" w:hAnsiTheme="minorEastAsia" w:eastAsiaTheme="minorEastAsia"/>
          <w:sz w:val="24"/>
          <w:szCs w:val="24"/>
        </w:rPr>
        <w:t>6</w:t>
      </w:r>
      <w:r>
        <w:rPr>
          <w:rFonts w:hint="eastAsia" w:asciiTheme="minorEastAsia" w:hAnsiTheme="minorEastAsia" w:eastAsiaTheme="minorEastAsia"/>
          <w:sz w:val="24"/>
          <w:szCs w:val="24"/>
        </w:rPr>
        <w:t>年6月30日，</w:t>
      </w:r>
      <w:r>
        <w:rPr>
          <w:rFonts w:asciiTheme="minorEastAsia" w:hAnsiTheme="minorEastAsia" w:eastAsiaTheme="minorEastAsia"/>
          <w:sz w:val="24"/>
          <w:szCs w:val="24"/>
        </w:rPr>
        <w:t>本公司有</w:t>
      </w:r>
      <w:r>
        <w:rPr>
          <w:rFonts w:hint="eastAsia" w:asciiTheme="minorEastAsia" w:hAnsiTheme="minorEastAsia" w:eastAsiaTheme="minorEastAsia"/>
          <w:sz w:val="24"/>
          <w:szCs w:val="24"/>
        </w:rPr>
        <w:t>1</w:t>
      </w:r>
      <w:r>
        <w:rPr>
          <w:rFonts w:asciiTheme="minorEastAsia" w:hAnsiTheme="minorEastAsia" w:eastAsiaTheme="minorEastAsia"/>
          <w:sz w:val="24"/>
          <w:szCs w:val="24"/>
        </w:rPr>
        <w:t>个募集资金专户</w:t>
      </w:r>
      <w:r>
        <w:rPr>
          <w:rFonts w:hint="eastAsia" w:asciiTheme="minorEastAsia" w:hAnsiTheme="minorEastAsia" w:eastAsiaTheme="minorEastAsia"/>
          <w:sz w:val="24"/>
          <w:szCs w:val="24"/>
        </w:rPr>
        <w:t>，募集资金存放情况如下：</w:t>
      </w:r>
    </w:p>
    <w:p>
      <w:pPr>
        <w:spacing w:before="156" w:beforeLines="50" w:after="156" w:afterLines="50" w:line="360" w:lineRule="auto"/>
        <w:ind w:firstLine="480" w:firstLineChars="200"/>
        <w:jc w:val="righ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金额单位：人民币元</w:t>
      </w:r>
    </w:p>
    <w:tbl>
      <w:tblPr>
        <w:tblStyle w:val="8"/>
        <w:tblW w:w="5000" w:type="pct"/>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068"/>
        <w:gridCol w:w="2316"/>
        <w:gridCol w:w="2066"/>
        <w:gridCol w:w="2066"/>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1214" w:type="pct"/>
            <w:vAlign w:val="center"/>
          </w:tcPr>
          <w:p>
            <w:pPr>
              <w:adjustRightInd w:val="0"/>
              <w:ind w:firstLine="210" w:firstLineChars="100"/>
              <w:jc w:val="left"/>
              <w:rPr>
                <w:rFonts w:hint="eastAsia" w:cs="宋体" w:asciiTheme="minorEastAsia" w:hAnsiTheme="minorEastAsia" w:eastAsiaTheme="minorEastAsia"/>
                <w:kern w:val="0"/>
                <w:szCs w:val="21"/>
              </w:rPr>
            </w:pPr>
            <w:r>
              <w:rPr>
                <w:rFonts w:cs="宋体" w:asciiTheme="minorEastAsia" w:hAnsiTheme="minorEastAsia" w:eastAsiaTheme="minorEastAsia"/>
                <w:kern w:val="0"/>
                <w:szCs w:val="21"/>
              </w:rPr>
              <w:t>开户银行</w:t>
            </w:r>
          </w:p>
        </w:tc>
        <w:tc>
          <w:tcPr>
            <w:tcW w:w="1360" w:type="pct"/>
            <w:vAlign w:val="center"/>
          </w:tcPr>
          <w:p>
            <w:pPr>
              <w:adjustRightInd w:val="0"/>
              <w:jc w:val="center"/>
              <w:rPr>
                <w:rFonts w:hint="eastAsia" w:cs="宋体" w:asciiTheme="minorEastAsia" w:hAnsiTheme="minorEastAsia" w:eastAsiaTheme="minorEastAsia"/>
                <w:kern w:val="0"/>
                <w:szCs w:val="21"/>
              </w:rPr>
            </w:pPr>
            <w:r>
              <w:rPr>
                <w:rFonts w:cs="宋体" w:asciiTheme="minorEastAsia" w:hAnsiTheme="minorEastAsia" w:eastAsiaTheme="minorEastAsia"/>
                <w:kern w:val="0"/>
                <w:szCs w:val="21"/>
              </w:rPr>
              <w:t>银行账号</w:t>
            </w:r>
          </w:p>
        </w:tc>
        <w:tc>
          <w:tcPr>
            <w:tcW w:w="1213" w:type="pct"/>
            <w:vAlign w:val="center"/>
          </w:tcPr>
          <w:p>
            <w:pPr>
              <w:adjustRightInd w:val="0"/>
              <w:jc w:val="center"/>
              <w:rPr>
                <w:rFonts w:hint="eastAsia" w:cs="宋体" w:asciiTheme="minorEastAsia" w:hAnsiTheme="minorEastAsia" w:eastAsiaTheme="minorEastAsia"/>
                <w:kern w:val="0"/>
                <w:szCs w:val="21"/>
              </w:rPr>
            </w:pPr>
            <w:r>
              <w:rPr>
                <w:rFonts w:cs="宋体" w:asciiTheme="minorEastAsia" w:hAnsiTheme="minorEastAsia" w:eastAsiaTheme="minorEastAsia"/>
                <w:kern w:val="0"/>
                <w:szCs w:val="21"/>
              </w:rPr>
              <w:t>募集资金余额</w:t>
            </w:r>
          </w:p>
        </w:tc>
        <w:tc>
          <w:tcPr>
            <w:tcW w:w="1213" w:type="pct"/>
            <w:vAlign w:val="center"/>
          </w:tcPr>
          <w:p>
            <w:pPr>
              <w:adjustRightInd w:val="0"/>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备  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4" w:type="pct"/>
            <w:vAlign w:val="center"/>
          </w:tcPr>
          <w:p>
            <w:pPr>
              <w:widowControl/>
              <w:spacing w:line="0" w:lineRule="atLeast"/>
              <w:jc w:val="left"/>
              <w:rPr>
                <w:rFonts w:hint="eastAsia" w:cs="宋体" w:asciiTheme="minorEastAsia" w:hAnsiTheme="minorEastAsia" w:eastAsiaTheme="minorEastAsia"/>
                <w:kern w:val="0"/>
                <w:szCs w:val="21"/>
              </w:rPr>
            </w:pPr>
            <w:r>
              <w:rPr>
                <w:rFonts w:hint="eastAsia" w:asciiTheme="minorEastAsia" w:hAnsiTheme="minorEastAsia" w:eastAsiaTheme="minorEastAsia"/>
                <w:color w:val="000000"/>
                <w:szCs w:val="21"/>
              </w:rPr>
              <w:t>上海浦东发展银行股份有限公司杭州拱墅支行</w:t>
            </w:r>
          </w:p>
        </w:tc>
        <w:tc>
          <w:tcPr>
            <w:tcW w:w="1360" w:type="pct"/>
            <w:vAlign w:val="center"/>
          </w:tcPr>
          <w:p>
            <w:pPr>
              <w:widowControl/>
              <w:jc w:val="left"/>
              <w:rPr>
                <w:rFonts w:hint="eastAsia" w:cs="宋体" w:asciiTheme="minorEastAsia" w:hAnsiTheme="minorEastAsia" w:eastAsiaTheme="minorEastAsia"/>
                <w:kern w:val="0"/>
                <w:szCs w:val="21"/>
              </w:rPr>
            </w:pPr>
            <w:r>
              <w:rPr>
                <w:rFonts w:cs="宋体" w:asciiTheme="minorEastAsia" w:hAnsiTheme="minorEastAsia" w:eastAsiaTheme="minorEastAsia"/>
                <w:szCs w:val="21"/>
              </w:rPr>
              <w:t>90320078801800000608</w:t>
            </w:r>
          </w:p>
        </w:tc>
        <w:tc>
          <w:tcPr>
            <w:tcW w:w="1213" w:type="pct"/>
            <w:vAlign w:val="center"/>
          </w:tcPr>
          <w:p>
            <w:pPr>
              <w:widowControl/>
              <w:jc w:val="center"/>
              <w:textAlignment w:val="center"/>
              <w:rPr>
                <w:rFonts w:hint="eastAsia" w:cs="宋体" w:asciiTheme="minorEastAsia" w:hAnsiTheme="minorEastAsia" w:eastAsiaTheme="minorEastAsia"/>
                <w:color w:val="000000"/>
                <w:sz w:val="22"/>
                <w:szCs w:val="22"/>
              </w:rPr>
            </w:pPr>
            <w:r>
              <w:rPr>
                <w:rFonts w:cs="宋体" w:asciiTheme="minorEastAsia" w:hAnsiTheme="minorEastAsia" w:eastAsiaTheme="minorEastAsia"/>
                <w:color w:val="000000"/>
                <w:kern w:val="0"/>
                <w:sz w:val="22"/>
                <w:szCs w:val="22"/>
                <w:lang w:bidi="ar"/>
              </w:rPr>
              <w:t>162,266,133.25</w:t>
            </w:r>
          </w:p>
        </w:tc>
        <w:tc>
          <w:tcPr>
            <w:tcW w:w="1213" w:type="pct"/>
            <w:vAlign w:val="center"/>
          </w:tcPr>
          <w:p>
            <w:pP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募集资金专用账户</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4" w:type="pct"/>
            <w:vAlign w:val="center"/>
          </w:tcPr>
          <w:p>
            <w:pPr>
              <w:spacing w:line="0" w:lineRule="atLeas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合</w:t>
            </w:r>
            <w:r>
              <w:rPr>
                <w:rFonts w:cs="宋体" w:asciiTheme="minorEastAsia" w:hAnsiTheme="minorEastAsia" w:eastAsiaTheme="minorEastAsia"/>
                <w:kern w:val="0"/>
                <w:szCs w:val="21"/>
              </w:rPr>
              <w:t xml:space="preserve">  计</w:t>
            </w:r>
          </w:p>
        </w:tc>
        <w:tc>
          <w:tcPr>
            <w:tcW w:w="1360" w:type="pct"/>
            <w:vAlign w:val="center"/>
          </w:tcPr>
          <w:p>
            <w:pPr>
              <w:rPr>
                <w:rFonts w:hint="eastAsia" w:cs="宋体" w:asciiTheme="minorEastAsia" w:hAnsiTheme="minorEastAsia" w:eastAsiaTheme="minorEastAsia"/>
                <w:kern w:val="0"/>
                <w:szCs w:val="21"/>
              </w:rPr>
            </w:pPr>
          </w:p>
        </w:tc>
        <w:tc>
          <w:tcPr>
            <w:tcW w:w="1213" w:type="pct"/>
            <w:vAlign w:val="center"/>
          </w:tcPr>
          <w:p>
            <w:pPr>
              <w:widowControl/>
              <w:jc w:val="center"/>
              <w:textAlignment w:val="center"/>
              <w:rPr>
                <w:rFonts w:hint="eastAsia" w:cs="宋体" w:asciiTheme="minorEastAsia" w:hAnsiTheme="minorEastAsia" w:eastAsiaTheme="minorEastAsia"/>
                <w:color w:val="000000"/>
                <w:sz w:val="22"/>
                <w:szCs w:val="22"/>
              </w:rPr>
            </w:pPr>
            <w:r>
              <w:rPr>
                <w:rFonts w:cs="宋体" w:asciiTheme="minorEastAsia" w:hAnsiTheme="minorEastAsia" w:eastAsiaTheme="minorEastAsia"/>
                <w:color w:val="000000"/>
                <w:kern w:val="0"/>
                <w:sz w:val="22"/>
                <w:szCs w:val="22"/>
                <w:lang w:bidi="ar"/>
              </w:rPr>
              <w:t>162,266,133.25</w:t>
            </w:r>
          </w:p>
        </w:tc>
        <w:tc>
          <w:tcPr>
            <w:tcW w:w="1213" w:type="pct"/>
            <w:vAlign w:val="center"/>
          </w:tcPr>
          <w:p>
            <w:pPr>
              <w:rPr>
                <w:rFonts w:hint="eastAsia" w:cs="宋体" w:asciiTheme="minorEastAsia" w:hAnsiTheme="minorEastAsia" w:eastAsiaTheme="minorEastAsia"/>
                <w:kern w:val="0"/>
                <w:szCs w:val="21"/>
              </w:rPr>
            </w:pPr>
          </w:p>
        </w:tc>
      </w:tr>
    </w:tbl>
    <w:p>
      <w:pPr>
        <w:spacing w:line="360" w:lineRule="auto"/>
        <w:ind w:firstLine="420" w:firstLineChars="200"/>
        <w:rPr>
          <w:rFonts w:hint="eastAsia" w:asciiTheme="minorEastAsia" w:hAnsiTheme="minorEastAsia" w:eastAsiaTheme="minorEastAsia"/>
          <w:color w:val="000000"/>
          <w:szCs w:val="21"/>
          <w:highlight w:val="yellow"/>
        </w:rPr>
      </w:pPr>
    </w:p>
    <w:p>
      <w:pPr>
        <w:spacing w:before="156" w:beforeLines="50" w:after="156" w:afterLines="50" w:line="360" w:lineRule="auto"/>
        <w:ind w:firstLine="482" w:firstLineChars="200"/>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三、</w:t>
      </w:r>
      <w:r>
        <w:rPr>
          <w:rFonts w:asciiTheme="minorEastAsia" w:hAnsiTheme="minorEastAsia" w:eastAsiaTheme="minorEastAsia"/>
          <w:b/>
          <w:bCs/>
          <w:sz w:val="24"/>
          <w:szCs w:val="24"/>
        </w:rPr>
        <w:t>本年度募集资金的实际使用情况</w:t>
      </w:r>
    </w:p>
    <w:p>
      <w:pPr>
        <w:spacing w:before="50" w:after="50" w:line="360" w:lineRule="auto"/>
        <w:ind w:firstLine="482" w:firstLineChars="200"/>
        <w:rPr>
          <w:rFonts w:hint="eastAsia" w:asciiTheme="minorEastAsia" w:hAnsiTheme="minorEastAsia" w:eastAsiaTheme="minorEastAsia"/>
          <w:b/>
          <w:bCs/>
          <w:sz w:val="24"/>
        </w:rPr>
      </w:pPr>
      <w:r>
        <w:rPr>
          <w:rFonts w:hint="eastAsia" w:asciiTheme="minorEastAsia" w:hAnsiTheme="minorEastAsia" w:eastAsiaTheme="minorEastAsia"/>
          <w:b/>
          <w:bCs/>
          <w:sz w:val="24"/>
        </w:rPr>
        <w:t>（一）募集资金投资项目的资金使用情况</w:t>
      </w:r>
    </w:p>
    <w:p>
      <w:pPr>
        <w:autoSpaceDE w:val="0"/>
        <w:autoSpaceDN w:val="0"/>
        <w:adjustRightInd w:val="0"/>
        <w:spacing w:before="156" w:beforeLines="50" w:after="156" w:afterLines="50" w:line="360" w:lineRule="auto"/>
        <w:ind w:firstLine="480" w:firstLineChars="200"/>
        <w:jc w:val="left"/>
        <w:rPr>
          <w:rFonts w:hint="eastAsia" w:cs="宋体" w:asciiTheme="minorEastAsia" w:hAnsiTheme="minorEastAsia" w:eastAsiaTheme="minorEastAsia"/>
          <w:color w:val="000000"/>
          <w:kern w:val="0"/>
          <w:sz w:val="24"/>
        </w:rPr>
      </w:pPr>
      <w:r>
        <w:rPr>
          <w:rFonts w:hint="eastAsia" w:asciiTheme="minorEastAsia" w:hAnsiTheme="minorEastAsia" w:eastAsiaTheme="minorEastAsia"/>
          <w:color w:val="000000"/>
          <w:kern w:val="0"/>
          <w:sz w:val="24"/>
        </w:rPr>
        <w:t>公司</w:t>
      </w:r>
      <w:r>
        <w:rPr>
          <w:rFonts w:asciiTheme="minorEastAsia" w:hAnsiTheme="minorEastAsia" w:eastAsiaTheme="minorEastAsia"/>
          <w:color w:val="000000"/>
          <w:kern w:val="0"/>
          <w:sz w:val="24"/>
        </w:rPr>
        <w:t>2026</w:t>
      </w:r>
      <w:r>
        <w:rPr>
          <w:rFonts w:hint="eastAsia" w:cs="宋体" w:asciiTheme="minorEastAsia" w:hAnsiTheme="minorEastAsia" w:eastAsiaTheme="minorEastAsia"/>
          <w:color w:val="000000"/>
          <w:kern w:val="0"/>
          <w:sz w:val="24"/>
        </w:rPr>
        <w:t>年半年度募集资金实际使用情况详见附表1《募集资金使用情况对照表》。</w:t>
      </w:r>
    </w:p>
    <w:p>
      <w:pPr>
        <w:autoSpaceDE w:val="0"/>
        <w:autoSpaceDN w:val="0"/>
        <w:adjustRightInd w:val="0"/>
        <w:spacing w:before="156" w:beforeLines="50" w:after="156" w:afterLines="50" w:line="360" w:lineRule="auto"/>
        <w:ind w:firstLine="482" w:firstLineChars="200"/>
        <w:jc w:val="left"/>
        <w:rPr>
          <w:rFonts w:hint="eastAsia" w:asciiTheme="minorEastAsia" w:hAnsiTheme="minorEastAsia" w:eastAsiaTheme="minorEastAsia"/>
          <w:b/>
          <w:bCs/>
          <w:sz w:val="24"/>
        </w:rPr>
      </w:pPr>
      <w:r>
        <w:rPr>
          <w:rFonts w:hint="eastAsia" w:asciiTheme="minorEastAsia" w:hAnsiTheme="minorEastAsia" w:eastAsiaTheme="minorEastAsia"/>
          <w:b/>
          <w:bCs/>
          <w:sz w:val="24"/>
        </w:rPr>
        <w:t>（二）募集资金投资项目的实施地点、实施方式变更情况</w:t>
      </w:r>
    </w:p>
    <w:p>
      <w:pPr>
        <w:spacing w:before="50" w:after="50"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公司第六届董事会第七次会议及2</w:t>
      </w:r>
      <w:r>
        <w:rPr>
          <w:rFonts w:asciiTheme="minorEastAsia" w:hAnsiTheme="minorEastAsia" w:eastAsiaTheme="minorEastAsia"/>
          <w:sz w:val="24"/>
          <w:szCs w:val="24"/>
        </w:rPr>
        <w:t>026年第二次临时股东会，分别审议通过了《关于变更部分募集资金用途的议案》</w:t>
      </w:r>
      <w:r>
        <w:rPr>
          <w:rFonts w:hint="eastAsia" w:cs="宋体" w:asciiTheme="minorEastAsia" w:hAnsiTheme="minorEastAsia" w:eastAsiaTheme="minorEastAsia"/>
          <w:color w:val="000000"/>
          <w:kern w:val="0"/>
          <w:sz w:val="24"/>
        </w:rPr>
        <w:t>，同意将</w:t>
      </w:r>
      <w:r>
        <w:rPr>
          <w:rFonts w:asciiTheme="minorEastAsia" w:hAnsiTheme="minorEastAsia" w:eastAsiaTheme="minorEastAsia"/>
          <w:sz w:val="24"/>
          <w:szCs w:val="24"/>
        </w:rPr>
        <w:t>“智能计量表具终端未来工厂建设项目”和“智慧城市先进计量及系统产业研发中心建设项目”变更为“新一代智慧能源终端智能制造基地建设项目”。</w:t>
      </w:r>
    </w:p>
    <w:p>
      <w:pPr>
        <w:spacing w:before="50" w:after="50" w:line="360" w:lineRule="auto"/>
        <w:ind w:firstLine="482" w:firstLineChars="200"/>
        <w:rPr>
          <w:rFonts w:hint="eastAsia" w:asciiTheme="minorEastAsia" w:hAnsiTheme="minorEastAsia" w:eastAsiaTheme="minorEastAsia"/>
          <w:b/>
          <w:bCs/>
          <w:sz w:val="24"/>
        </w:rPr>
      </w:pPr>
      <w:r>
        <w:rPr>
          <w:rFonts w:hint="eastAsia" w:asciiTheme="minorEastAsia" w:hAnsiTheme="minorEastAsia" w:eastAsiaTheme="minorEastAsia"/>
          <w:b/>
          <w:bCs/>
          <w:sz w:val="24"/>
        </w:rPr>
        <w:t>（三）使用募集资金置换预先投入募投项目和已支付发行费用情况</w:t>
      </w:r>
    </w:p>
    <w:p>
      <w:pPr>
        <w:spacing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2022年</w:t>
      </w:r>
      <w:r>
        <w:rPr>
          <w:rFonts w:asciiTheme="minorEastAsia" w:hAnsiTheme="minorEastAsia" w:eastAsiaTheme="minorEastAsia"/>
          <w:sz w:val="24"/>
        </w:rPr>
        <w:t>11</w:t>
      </w:r>
      <w:r>
        <w:rPr>
          <w:rFonts w:hint="eastAsia" w:asciiTheme="minorEastAsia" w:hAnsiTheme="minorEastAsia" w:eastAsiaTheme="minorEastAsia"/>
          <w:sz w:val="24"/>
        </w:rPr>
        <w:t>月</w:t>
      </w:r>
      <w:r>
        <w:rPr>
          <w:rFonts w:asciiTheme="minorEastAsia" w:hAnsiTheme="minorEastAsia" w:eastAsiaTheme="minorEastAsia"/>
          <w:sz w:val="24"/>
        </w:rPr>
        <w:t>24</w:t>
      </w:r>
      <w:r>
        <w:rPr>
          <w:rFonts w:hint="eastAsia" w:asciiTheme="minorEastAsia" w:hAnsiTheme="minorEastAsia" w:eastAsiaTheme="minorEastAsia"/>
          <w:sz w:val="24"/>
        </w:rPr>
        <w:t>日，公司召开第五届董事会第九次会议和第五届监事会第八次会议，审议通过了《关于使用</w:t>
      </w:r>
      <w:bookmarkStart w:id="0" w:name="_Hlk131517947"/>
      <w:r>
        <w:rPr>
          <w:rFonts w:hint="eastAsia" w:asciiTheme="minorEastAsia" w:hAnsiTheme="minorEastAsia" w:eastAsiaTheme="minorEastAsia"/>
          <w:sz w:val="24"/>
        </w:rPr>
        <w:t>募集资金置换预先投入募投项目和已支付发行费用</w:t>
      </w:r>
      <w:bookmarkEnd w:id="0"/>
      <w:r>
        <w:rPr>
          <w:rFonts w:hint="eastAsia" w:asciiTheme="minorEastAsia" w:hAnsiTheme="minorEastAsia" w:eastAsiaTheme="minorEastAsia"/>
          <w:sz w:val="24"/>
        </w:rPr>
        <w:t>的自筹资金的议案》，同意公司使用募集资金置换预先投入募投项目的自筹资金980.08万元和已支付发行费用的自筹资金21.25万元（不含税），已经天健会计师事务所（特殊普通合伙）出具的天健审</w:t>
      </w:r>
      <w:r>
        <w:rPr>
          <w:rFonts w:hint="eastAsia" w:asciiTheme="minorEastAsia" w:hAnsiTheme="minorEastAsia" w:eastAsiaTheme="minorEastAsia"/>
          <w:color w:val="000000" w:themeColor="text1"/>
          <w:sz w:val="24"/>
          <w14:textFill>
            <w14:solidFill>
              <w14:schemeClr w14:val="tx1"/>
            </w14:solidFill>
          </w14:textFill>
        </w:rPr>
        <w:t>[2022]</w:t>
      </w:r>
      <w:r>
        <w:rPr>
          <w:rFonts w:hint="eastAsia" w:asciiTheme="minorEastAsia" w:hAnsiTheme="minorEastAsia" w:eastAsiaTheme="minorEastAsia"/>
          <w:sz w:val="24"/>
        </w:rPr>
        <w:t>10395号鉴证报告验证。</w:t>
      </w:r>
    </w:p>
    <w:p>
      <w:pPr>
        <w:spacing w:before="50" w:after="50" w:line="360" w:lineRule="auto"/>
        <w:ind w:firstLine="482" w:firstLineChars="200"/>
        <w:rPr>
          <w:rFonts w:hint="eastAsia" w:asciiTheme="minorEastAsia" w:hAnsiTheme="minorEastAsia" w:eastAsiaTheme="minorEastAsia"/>
          <w:b/>
          <w:bCs/>
          <w:sz w:val="24"/>
        </w:rPr>
      </w:pPr>
      <w:r>
        <w:rPr>
          <w:rFonts w:hint="eastAsia" w:asciiTheme="minorEastAsia" w:hAnsiTheme="minorEastAsia" w:eastAsiaTheme="minorEastAsia"/>
          <w:b/>
          <w:bCs/>
          <w:sz w:val="24"/>
        </w:rPr>
        <w:t>（四）用闲置募集资金暂时补充流动资金情况</w:t>
      </w:r>
    </w:p>
    <w:p>
      <w:pPr>
        <w:spacing w:line="360" w:lineRule="auto"/>
        <w:ind w:firstLine="480" w:firstLineChars="200"/>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2022年11月24日，公司第五届董事会第九次会议及第五届监事会第八次会议审议通过了《关于使用部分闲置募集资金暂时补充流动资金的议案》，并于 2022年12月12日召开2022年第三次临时股东大会，审议通过了该议案，同意公司使用总金额不超过人民币15,000万元的闲置募集资金临时补充流动资金，使用期限自2022年12月12日召开的2022年第三次临时股东大会审议通过之日起不超过12个月，在上述使用期限内，公司实际用于暂时补充流动资金的闲置募集资金总额为人民币5,000万元。截至2023年11月17日，公司已将前述用于暂时补充流动资金的募集资金全部归还并存入募集资金专用账户。</w:t>
      </w:r>
    </w:p>
    <w:p>
      <w:pPr>
        <w:spacing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2023年11月22日，公司第五届董事会第十五次会议及第五届监事会第十三次会议审议通过了《关于继续使用部分闲置募集资金暂时补充流动资金的议案》，同意公司使用总金额不超过人民币10,000万元的闲置募集资金临时补充流动资金，使用期限不超过12个月。2023年12月11日召开2023年第二次临时股东大会，审议通过了该议案。上述期限内，公司未使用闲置募集资金暂时补充流动资金。</w:t>
      </w:r>
    </w:p>
    <w:p>
      <w:pPr>
        <w:spacing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2024年11月14日，公司第五届董事会第十九次会议及第五届监事会第十七次会议审议通过《关于继续使用部分闲置募集资金暂时补充流动资金的议案》，同意公司使用总金额不超过人民币10,000万元的闲置募集资金临时补充流动资金，使用期限不超过12个月。2024年12月2日召开2024年第一次临时股东大会，审议通过了该议案。</w:t>
      </w:r>
    </w:p>
    <w:p>
      <w:pPr>
        <w:spacing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2</w:t>
      </w:r>
      <w:r>
        <w:rPr>
          <w:rFonts w:asciiTheme="minorEastAsia" w:hAnsiTheme="minorEastAsia" w:eastAsiaTheme="minorEastAsia"/>
          <w:sz w:val="24"/>
        </w:rPr>
        <w:t>025年</w:t>
      </w:r>
      <w:r>
        <w:rPr>
          <w:rFonts w:hint="eastAsia" w:asciiTheme="minorEastAsia" w:hAnsiTheme="minorEastAsia" w:eastAsiaTheme="minorEastAsia"/>
          <w:sz w:val="24"/>
        </w:rPr>
        <w:t>1</w:t>
      </w:r>
      <w:r>
        <w:rPr>
          <w:rFonts w:asciiTheme="minorEastAsia" w:hAnsiTheme="minorEastAsia" w:eastAsiaTheme="minorEastAsia"/>
          <w:sz w:val="24"/>
        </w:rPr>
        <w:t>0月</w:t>
      </w:r>
      <w:r>
        <w:rPr>
          <w:rFonts w:hint="eastAsia" w:asciiTheme="minorEastAsia" w:hAnsiTheme="minorEastAsia" w:eastAsiaTheme="minorEastAsia"/>
          <w:sz w:val="24"/>
        </w:rPr>
        <w:t>2</w:t>
      </w:r>
      <w:r>
        <w:rPr>
          <w:rFonts w:asciiTheme="minorEastAsia" w:hAnsiTheme="minorEastAsia" w:eastAsiaTheme="minorEastAsia"/>
          <w:sz w:val="24"/>
        </w:rPr>
        <w:t>4日，公司第六届董事会第四次会议及第六届监事会第四次会议审议通过</w:t>
      </w:r>
      <w:r>
        <w:rPr>
          <w:rFonts w:hint="eastAsia" w:asciiTheme="minorEastAsia" w:hAnsiTheme="minorEastAsia" w:eastAsiaTheme="minorEastAsia"/>
          <w:sz w:val="24"/>
        </w:rPr>
        <w:t>《关于继续使用部分闲置募集资金暂时补充流动资金的议案》，同意公司使用总金额不超过人民币10,000</w:t>
      </w:r>
      <w:r>
        <w:rPr>
          <w:rFonts w:asciiTheme="minorEastAsia" w:hAnsiTheme="minorEastAsia" w:eastAsiaTheme="minorEastAsia"/>
          <w:sz w:val="24"/>
        </w:rPr>
        <w:t>万</w:t>
      </w:r>
      <w:r>
        <w:rPr>
          <w:rFonts w:hint="eastAsia" w:asciiTheme="minorEastAsia" w:hAnsiTheme="minorEastAsia" w:eastAsiaTheme="minorEastAsia"/>
          <w:sz w:val="24"/>
        </w:rPr>
        <w:t>元的闲置募集资金临时补充流动资金，使用期限不超过1</w:t>
      </w:r>
      <w:r>
        <w:rPr>
          <w:rFonts w:asciiTheme="minorEastAsia" w:hAnsiTheme="minorEastAsia" w:eastAsiaTheme="minorEastAsia"/>
          <w:sz w:val="24"/>
        </w:rPr>
        <w:t>2个月。</w:t>
      </w:r>
      <w:r>
        <w:rPr>
          <w:rFonts w:hint="eastAsia" w:asciiTheme="minorEastAsia" w:hAnsiTheme="minorEastAsia" w:eastAsiaTheme="minorEastAsia"/>
          <w:sz w:val="24"/>
        </w:rPr>
        <w:t>2</w:t>
      </w:r>
      <w:r>
        <w:rPr>
          <w:rFonts w:asciiTheme="minorEastAsia" w:hAnsiTheme="minorEastAsia" w:eastAsiaTheme="minorEastAsia"/>
          <w:sz w:val="24"/>
        </w:rPr>
        <w:t>025年</w:t>
      </w:r>
      <w:r>
        <w:rPr>
          <w:rFonts w:hint="eastAsia" w:asciiTheme="minorEastAsia" w:hAnsiTheme="minorEastAsia" w:eastAsiaTheme="minorEastAsia"/>
          <w:sz w:val="24"/>
        </w:rPr>
        <w:t>1</w:t>
      </w:r>
      <w:r>
        <w:rPr>
          <w:rFonts w:asciiTheme="minorEastAsia" w:hAnsiTheme="minorEastAsia" w:eastAsiaTheme="minorEastAsia"/>
          <w:sz w:val="24"/>
        </w:rPr>
        <w:t>1月</w:t>
      </w:r>
      <w:r>
        <w:rPr>
          <w:rFonts w:hint="eastAsia" w:asciiTheme="minorEastAsia" w:hAnsiTheme="minorEastAsia" w:eastAsiaTheme="minorEastAsia"/>
          <w:sz w:val="24"/>
        </w:rPr>
        <w:t>1</w:t>
      </w:r>
      <w:r>
        <w:rPr>
          <w:rFonts w:asciiTheme="minorEastAsia" w:hAnsiTheme="minorEastAsia" w:eastAsiaTheme="minorEastAsia"/>
          <w:sz w:val="24"/>
        </w:rPr>
        <w:t>3日召开</w:t>
      </w:r>
      <w:r>
        <w:rPr>
          <w:rFonts w:hint="eastAsia" w:asciiTheme="minorEastAsia" w:hAnsiTheme="minorEastAsia" w:eastAsiaTheme="minorEastAsia"/>
          <w:sz w:val="24"/>
        </w:rPr>
        <w:t>2</w:t>
      </w:r>
      <w:r>
        <w:rPr>
          <w:rFonts w:asciiTheme="minorEastAsia" w:hAnsiTheme="minorEastAsia" w:eastAsiaTheme="minorEastAsia"/>
          <w:sz w:val="24"/>
        </w:rPr>
        <w:t>025年第一次临时股东会，审议通过了该议案。</w:t>
      </w:r>
    </w:p>
    <w:p>
      <w:pPr>
        <w:spacing w:before="50" w:after="50"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截至202</w:t>
      </w:r>
      <w:r>
        <w:rPr>
          <w:rFonts w:asciiTheme="minorEastAsia" w:hAnsiTheme="minorEastAsia" w:eastAsiaTheme="minorEastAsia"/>
          <w:sz w:val="24"/>
        </w:rPr>
        <w:t>6</w:t>
      </w:r>
      <w:r>
        <w:rPr>
          <w:rFonts w:hint="eastAsia" w:asciiTheme="minorEastAsia" w:hAnsiTheme="minorEastAsia" w:eastAsiaTheme="minorEastAsia"/>
          <w:sz w:val="24"/>
        </w:rPr>
        <w:t>年6月3</w:t>
      </w:r>
      <w:r>
        <w:rPr>
          <w:rFonts w:asciiTheme="minorEastAsia" w:hAnsiTheme="minorEastAsia" w:eastAsiaTheme="minorEastAsia"/>
          <w:sz w:val="24"/>
        </w:rPr>
        <w:t>0</w:t>
      </w:r>
      <w:r>
        <w:rPr>
          <w:rFonts w:hint="eastAsia" w:asciiTheme="minorEastAsia" w:hAnsiTheme="minorEastAsia" w:eastAsiaTheme="minorEastAsia"/>
          <w:sz w:val="24"/>
        </w:rPr>
        <w:t>日，公司尚未使用闲置募集资金暂时补充流动资金。</w:t>
      </w:r>
    </w:p>
    <w:p>
      <w:pPr>
        <w:pStyle w:val="18"/>
        <w:spacing w:line="360" w:lineRule="auto"/>
        <w:ind w:firstLine="482"/>
        <w:rPr>
          <w:rFonts w:hint="eastAsia" w:asciiTheme="minorEastAsia" w:hAnsiTheme="minorEastAsia" w:eastAsiaTheme="minorEastAsia"/>
          <w:b/>
          <w:bCs/>
        </w:rPr>
      </w:pPr>
      <w:r>
        <w:rPr>
          <w:rFonts w:hint="eastAsia" w:asciiTheme="minorEastAsia" w:hAnsiTheme="minorEastAsia" w:eastAsiaTheme="minorEastAsia"/>
          <w:b/>
          <w:bCs/>
        </w:rPr>
        <w:t>（五）用闲置募集资金进行现金管理情况</w:t>
      </w:r>
      <w:r>
        <w:rPr>
          <w:rFonts w:asciiTheme="minorEastAsia" w:hAnsiTheme="minorEastAsia" w:eastAsiaTheme="minorEastAsia"/>
          <w:b/>
          <w:bCs/>
        </w:rPr>
        <w:t xml:space="preserve"> </w:t>
      </w:r>
    </w:p>
    <w:p>
      <w:pPr>
        <w:spacing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2022年11月24日公司第五届董事会第九次会议及第五届监事会第八次会议审议通过了《关于使用部分闲置募集资金进行现金管理的议案》，并于2022年12月12日召开2022年第三次临时股东大会，审议通过了该议案，同意公司使用合计不超过2.5亿元（含本数）暂时闲置的募集资金进行现金管理，单笔额度不超过人民币1.5亿元（含本数），该额度在股东大会审议通过之日起一年内可以滚动使用。2023年6月2日公司使用闲置募集资金在杭州银行股份有限公司科技支行购买了转存期限为三个月结构性存款5,000万元，2023年9月4日公司到期赎回了相关结构性存款，取得利息收入36.83万元。</w:t>
      </w:r>
    </w:p>
    <w:p>
      <w:pPr>
        <w:spacing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2023年11月22日召开第五届董事会第十五次会议及第五届监事会第十三次会议，审议通过了《关于继续使用部分闲置募集资金进行现金管理的议案》，并于2023年12月11日召开2023年第二次临时股东大会，审议通过了该议案，同意在不影响公司经营计划、募集资金项目建设计划和募集资金使用计划的前提下，使用合计不超过2亿元（含本数）暂时闲置的募集资金进行现金管理，其中单笔额度不超过人民币1亿元（含本数），该额度在股东大会审议通过之日起一年内可以滚动使用。2024年5月13日公司使用闲置募集资金在上海浦东发展银行购买了转存期限为三个月结构性存款7,000万元，2024年8月13日公司到期赎回了相关结构性存款，取得利息收入44.62万元，2024年7月15日公司使用闲置募集资金在上海浦东发展银行购买了转存期限为三个月结构性存款5,000万元，2024年10月15日公司到期赎回了相关结构性存款，取得利息收入28.75万元，2024年8月19日公司使用闲置募集资金在上海浦东发展银行购买了转存期限为三个月结构性存款7,000万元，2024年11月19日公司到期赎回了相关结构性存款，取得利息收入39.38万元，2024年10月18日公司使用闲置募集资金在上海浦东发展银行购买了转存期限为一个月结构性存款5,000万元，2024年11月18日公司到期赎回了相关结构性存款，取得利息收入8.75万元。</w:t>
      </w:r>
    </w:p>
    <w:p>
      <w:pPr>
        <w:spacing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2024年11月14日，公司第五届董事会第十九次会议及第五届监事会第十七次会议审议通过《关于继续使用部分闲置募集资金进行现金管理的议案》，并于2024年12月2日召开2024年第一次临时股东大会，审议通过了该议案。同意在不影响公司经营计划、募集资金项目建设计划和募集资金使用计划的前提下，使用合计不超过2亿元（含本数）暂时闲置的募集资金进行现金管理，其中单笔额度不超过人民币1亿元（含本数），该额度在股东大会审议通过之日起一年内可以滚动使用。2025年2月24日公司使用闲置募集资金在上海浦东发展银行购买了转存期限为三个月结构性存款5,000万元，2025年5月26日公司到期赎回了相关结构性存款，取得利息收入28.11万元。</w:t>
      </w:r>
    </w:p>
    <w:p>
      <w:pPr>
        <w:spacing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2</w:t>
      </w:r>
      <w:r>
        <w:rPr>
          <w:rFonts w:asciiTheme="minorEastAsia" w:hAnsiTheme="minorEastAsia" w:eastAsiaTheme="minorEastAsia"/>
          <w:sz w:val="24"/>
        </w:rPr>
        <w:t>025年</w:t>
      </w:r>
      <w:r>
        <w:rPr>
          <w:rFonts w:hint="eastAsia" w:asciiTheme="minorEastAsia" w:hAnsiTheme="minorEastAsia" w:eastAsiaTheme="minorEastAsia"/>
          <w:sz w:val="24"/>
        </w:rPr>
        <w:t>1</w:t>
      </w:r>
      <w:r>
        <w:rPr>
          <w:rFonts w:asciiTheme="minorEastAsia" w:hAnsiTheme="minorEastAsia" w:eastAsiaTheme="minorEastAsia"/>
          <w:sz w:val="24"/>
        </w:rPr>
        <w:t>0月</w:t>
      </w:r>
      <w:r>
        <w:rPr>
          <w:rFonts w:hint="eastAsia" w:asciiTheme="minorEastAsia" w:hAnsiTheme="minorEastAsia" w:eastAsiaTheme="minorEastAsia"/>
          <w:sz w:val="24"/>
        </w:rPr>
        <w:t>2</w:t>
      </w:r>
      <w:r>
        <w:rPr>
          <w:rFonts w:asciiTheme="minorEastAsia" w:hAnsiTheme="minorEastAsia" w:eastAsiaTheme="minorEastAsia"/>
          <w:sz w:val="24"/>
        </w:rPr>
        <w:t>4日，公司第六届董事会第四次会议及第六届监事会第四次会议审议通过</w:t>
      </w:r>
      <w:r>
        <w:rPr>
          <w:rFonts w:hint="eastAsia" w:asciiTheme="minorEastAsia" w:hAnsiTheme="minorEastAsia" w:eastAsiaTheme="minorEastAsia"/>
          <w:sz w:val="24"/>
        </w:rPr>
        <w:t>《关于继续使用部分闲置募集资金进行现金管理的议案》，并于2</w:t>
      </w:r>
      <w:r>
        <w:rPr>
          <w:rFonts w:asciiTheme="minorEastAsia" w:hAnsiTheme="minorEastAsia" w:eastAsiaTheme="minorEastAsia"/>
          <w:sz w:val="24"/>
        </w:rPr>
        <w:t>025年</w:t>
      </w:r>
      <w:r>
        <w:rPr>
          <w:rFonts w:hint="eastAsia" w:asciiTheme="minorEastAsia" w:hAnsiTheme="minorEastAsia" w:eastAsiaTheme="minorEastAsia"/>
          <w:sz w:val="24"/>
        </w:rPr>
        <w:t>1</w:t>
      </w:r>
      <w:r>
        <w:rPr>
          <w:rFonts w:asciiTheme="minorEastAsia" w:hAnsiTheme="minorEastAsia" w:eastAsiaTheme="minorEastAsia"/>
          <w:sz w:val="24"/>
        </w:rPr>
        <w:t>1月</w:t>
      </w:r>
      <w:r>
        <w:rPr>
          <w:rFonts w:hint="eastAsia" w:asciiTheme="minorEastAsia" w:hAnsiTheme="minorEastAsia" w:eastAsiaTheme="minorEastAsia"/>
          <w:sz w:val="24"/>
        </w:rPr>
        <w:t>1</w:t>
      </w:r>
      <w:r>
        <w:rPr>
          <w:rFonts w:asciiTheme="minorEastAsia" w:hAnsiTheme="minorEastAsia" w:eastAsiaTheme="minorEastAsia"/>
          <w:sz w:val="24"/>
        </w:rPr>
        <w:t>3日召开</w:t>
      </w:r>
      <w:r>
        <w:rPr>
          <w:rFonts w:hint="eastAsia" w:asciiTheme="minorEastAsia" w:hAnsiTheme="minorEastAsia" w:eastAsiaTheme="minorEastAsia"/>
          <w:sz w:val="24"/>
        </w:rPr>
        <w:t>2</w:t>
      </w:r>
      <w:r>
        <w:rPr>
          <w:rFonts w:asciiTheme="minorEastAsia" w:hAnsiTheme="minorEastAsia" w:eastAsiaTheme="minorEastAsia"/>
          <w:sz w:val="24"/>
        </w:rPr>
        <w:t>025年第一次临时股东会，审议通过了该议案。同意在不影响公司经营计划、募集资金项目建设计划和募集资金使用计划的前提下，拟使用合计不超过人民币</w:t>
      </w:r>
      <w:r>
        <w:rPr>
          <w:rFonts w:hint="eastAsia" w:asciiTheme="minorEastAsia" w:hAnsiTheme="minorEastAsia" w:eastAsiaTheme="minorEastAsia"/>
          <w:sz w:val="24"/>
        </w:rPr>
        <w:t>1</w:t>
      </w:r>
      <w:r>
        <w:rPr>
          <w:rFonts w:asciiTheme="minorEastAsia" w:hAnsiTheme="minorEastAsia" w:eastAsiaTheme="minorEastAsia"/>
          <w:sz w:val="24"/>
        </w:rPr>
        <w:t>.5亿元（含本数）暂时闲置的募集资金进行现金管理，其中单笔额度不超过人民币</w:t>
      </w:r>
      <w:r>
        <w:rPr>
          <w:rFonts w:hint="eastAsia" w:asciiTheme="minorEastAsia" w:hAnsiTheme="minorEastAsia" w:eastAsiaTheme="minorEastAsia"/>
          <w:sz w:val="24"/>
        </w:rPr>
        <w:t>1亿元（含本数），该额度在股东会审议通过之日起一年内可以滚动使用。2</w:t>
      </w:r>
      <w:r>
        <w:rPr>
          <w:rFonts w:asciiTheme="minorEastAsia" w:hAnsiTheme="minorEastAsia" w:eastAsiaTheme="minorEastAsia"/>
          <w:sz w:val="24"/>
        </w:rPr>
        <w:t>026年1</w:t>
      </w:r>
      <w:r>
        <w:rPr>
          <w:rFonts w:hint="eastAsia" w:asciiTheme="minorEastAsia" w:hAnsiTheme="minorEastAsia" w:eastAsiaTheme="minorEastAsia"/>
          <w:sz w:val="24"/>
        </w:rPr>
        <w:t>月2</w:t>
      </w:r>
      <w:r>
        <w:rPr>
          <w:rFonts w:asciiTheme="minorEastAsia" w:hAnsiTheme="minorEastAsia" w:eastAsiaTheme="minorEastAsia"/>
          <w:sz w:val="24"/>
        </w:rPr>
        <w:t>6日公司使用闲置募集资金在上海浦东发展银行股份有限公司购买了转存期限为</w:t>
      </w:r>
      <w:r>
        <w:rPr>
          <w:rFonts w:hint="eastAsia" w:asciiTheme="minorEastAsia" w:hAnsiTheme="minorEastAsia" w:eastAsiaTheme="minorEastAsia"/>
          <w:sz w:val="24"/>
        </w:rPr>
        <w:t>三个月结构性存款5,</w:t>
      </w:r>
      <w:r>
        <w:rPr>
          <w:rFonts w:asciiTheme="minorEastAsia" w:hAnsiTheme="minorEastAsia" w:eastAsiaTheme="minorEastAsia"/>
          <w:sz w:val="24"/>
        </w:rPr>
        <w:t>000万元，</w:t>
      </w:r>
      <w:r>
        <w:rPr>
          <w:rFonts w:hint="eastAsia" w:asciiTheme="minorEastAsia" w:hAnsiTheme="minorEastAsia" w:eastAsiaTheme="minorEastAsia"/>
          <w:sz w:val="24"/>
        </w:rPr>
        <w:t>2</w:t>
      </w:r>
      <w:r>
        <w:rPr>
          <w:rFonts w:asciiTheme="minorEastAsia" w:hAnsiTheme="minorEastAsia" w:eastAsiaTheme="minorEastAsia"/>
          <w:sz w:val="24"/>
        </w:rPr>
        <w:t>026年</w:t>
      </w:r>
      <w:r>
        <w:rPr>
          <w:rFonts w:hint="eastAsia" w:asciiTheme="minorEastAsia" w:hAnsiTheme="minorEastAsia" w:eastAsiaTheme="minorEastAsia"/>
          <w:sz w:val="24"/>
        </w:rPr>
        <w:t>4月2</w:t>
      </w:r>
      <w:r>
        <w:rPr>
          <w:rFonts w:asciiTheme="minorEastAsia" w:hAnsiTheme="minorEastAsia" w:eastAsiaTheme="minorEastAsia"/>
          <w:sz w:val="24"/>
        </w:rPr>
        <w:t>7日公司到期赎回了相关结构性存款，取得利息收入</w:t>
      </w:r>
      <w:r>
        <w:rPr>
          <w:rFonts w:hint="eastAsia" w:asciiTheme="minorEastAsia" w:hAnsiTheme="minorEastAsia" w:eastAsiaTheme="minorEastAsia"/>
          <w:sz w:val="24"/>
        </w:rPr>
        <w:t>2</w:t>
      </w:r>
      <w:r>
        <w:rPr>
          <w:rFonts w:asciiTheme="minorEastAsia" w:hAnsiTheme="minorEastAsia" w:eastAsiaTheme="minorEastAsia"/>
          <w:sz w:val="24"/>
        </w:rPr>
        <w:t>1.49万元。</w:t>
      </w:r>
    </w:p>
    <w:p>
      <w:pPr>
        <w:spacing w:before="50" w:after="50" w:line="360" w:lineRule="auto"/>
        <w:ind w:firstLine="480" w:firstLineChars="200"/>
        <w:rPr>
          <w:rFonts w:hint="eastAsia" w:asciiTheme="minorEastAsia" w:hAnsiTheme="minorEastAsia" w:eastAsiaTheme="minorEastAsia"/>
          <w:b/>
          <w:bCs/>
          <w:sz w:val="24"/>
          <w:szCs w:val="24"/>
        </w:rPr>
      </w:pPr>
      <w:r>
        <w:rPr>
          <w:rFonts w:hint="eastAsia" w:asciiTheme="minorEastAsia" w:hAnsiTheme="minorEastAsia" w:eastAsiaTheme="minorEastAsia"/>
          <w:sz w:val="24"/>
        </w:rPr>
        <w:t>截至202</w:t>
      </w:r>
      <w:r>
        <w:rPr>
          <w:rFonts w:asciiTheme="minorEastAsia" w:hAnsiTheme="minorEastAsia" w:eastAsiaTheme="minorEastAsia"/>
          <w:sz w:val="24"/>
        </w:rPr>
        <w:t>6</w:t>
      </w:r>
      <w:r>
        <w:rPr>
          <w:rFonts w:hint="eastAsia" w:asciiTheme="minorEastAsia" w:hAnsiTheme="minorEastAsia" w:eastAsiaTheme="minorEastAsia"/>
          <w:sz w:val="24"/>
        </w:rPr>
        <w:t>年6月3</w:t>
      </w:r>
      <w:r>
        <w:rPr>
          <w:rFonts w:asciiTheme="minorEastAsia" w:hAnsiTheme="minorEastAsia" w:eastAsiaTheme="minorEastAsia"/>
          <w:sz w:val="24"/>
        </w:rPr>
        <w:t>0</w:t>
      </w:r>
      <w:r>
        <w:rPr>
          <w:rFonts w:hint="eastAsia" w:asciiTheme="minorEastAsia" w:hAnsiTheme="minorEastAsia" w:eastAsiaTheme="minorEastAsia"/>
          <w:sz w:val="24"/>
        </w:rPr>
        <w:t>日，公司使用部分闲置募集资金进行现金管理的金额为</w:t>
      </w:r>
      <w:r>
        <w:rPr>
          <w:rFonts w:asciiTheme="minorEastAsia" w:hAnsiTheme="minorEastAsia" w:eastAsiaTheme="minorEastAsia"/>
          <w:sz w:val="24"/>
        </w:rPr>
        <w:t>0</w:t>
      </w:r>
      <w:r>
        <w:rPr>
          <w:rFonts w:hint="eastAsia" w:asciiTheme="minorEastAsia" w:hAnsiTheme="minorEastAsia" w:eastAsiaTheme="minorEastAsia"/>
          <w:sz w:val="24"/>
        </w:rPr>
        <w:t>元。</w:t>
      </w:r>
    </w:p>
    <w:p>
      <w:pPr>
        <w:pStyle w:val="18"/>
        <w:spacing w:before="156" w:beforeLines="50" w:after="156" w:afterLines="50" w:line="360" w:lineRule="auto"/>
        <w:ind w:firstLine="482" w:firstLineChars="200"/>
        <w:rPr>
          <w:rFonts w:hint="eastAsia" w:asciiTheme="minorEastAsia" w:hAnsiTheme="minorEastAsia" w:eastAsiaTheme="minorEastAsia"/>
          <w:b/>
          <w:bCs/>
        </w:rPr>
      </w:pPr>
      <w:r>
        <w:rPr>
          <w:rFonts w:hint="eastAsia" w:asciiTheme="minorEastAsia" w:hAnsiTheme="minorEastAsia" w:eastAsiaTheme="minorEastAsia"/>
          <w:b/>
          <w:bCs/>
        </w:rPr>
        <w:t>（六）节余募集资金使用情况</w:t>
      </w:r>
      <w:r>
        <w:rPr>
          <w:rFonts w:asciiTheme="minorEastAsia" w:hAnsiTheme="minorEastAsia" w:eastAsiaTheme="minorEastAsia"/>
          <w:b/>
          <w:bCs/>
        </w:rPr>
        <w:t xml:space="preserve"> </w:t>
      </w:r>
    </w:p>
    <w:p>
      <w:pPr>
        <w:pStyle w:val="18"/>
        <w:spacing w:before="156" w:beforeLines="50" w:after="156" w:afterLines="50" w:line="360" w:lineRule="auto"/>
        <w:ind w:firstLine="480" w:firstLineChars="200"/>
        <w:rPr>
          <w:rFonts w:hint="eastAsia" w:asciiTheme="minorEastAsia" w:hAnsiTheme="minorEastAsia" w:eastAsiaTheme="minorEastAsia"/>
        </w:rPr>
      </w:pPr>
      <w:r>
        <w:rPr>
          <w:rFonts w:hint="eastAsia" w:asciiTheme="minorEastAsia" w:hAnsiTheme="minorEastAsia" w:eastAsiaTheme="minorEastAsia"/>
        </w:rPr>
        <w:t>公司不存在将募集资金投资项目节余资金用于其他募集资金投资项目或非募集资金投资项目。</w:t>
      </w:r>
      <w:r>
        <w:rPr>
          <w:rFonts w:asciiTheme="minorEastAsia" w:hAnsiTheme="minorEastAsia" w:eastAsiaTheme="minorEastAsia"/>
        </w:rPr>
        <w:t xml:space="preserve"> </w:t>
      </w:r>
    </w:p>
    <w:p>
      <w:pPr>
        <w:pStyle w:val="18"/>
        <w:spacing w:before="156" w:beforeLines="50" w:after="156" w:afterLines="50" w:line="360" w:lineRule="auto"/>
        <w:ind w:firstLine="482" w:firstLineChars="200"/>
        <w:rPr>
          <w:rFonts w:hint="eastAsia" w:asciiTheme="minorEastAsia" w:hAnsiTheme="minorEastAsia" w:eastAsiaTheme="minorEastAsia"/>
          <w:b/>
          <w:bCs/>
        </w:rPr>
      </w:pPr>
      <w:r>
        <w:rPr>
          <w:rFonts w:hint="eastAsia" w:asciiTheme="minorEastAsia" w:hAnsiTheme="minorEastAsia" w:eastAsiaTheme="minorEastAsia"/>
          <w:b/>
          <w:bCs/>
        </w:rPr>
        <w:t>（七）超募资金使用情况</w:t>
      </w:r>
      <w:r>
        <w:rPr>
          <w:rFonts w:asciiTheme="minorEastAsia" w:hAnsiTheme="minorEastAsia" w:eastAsiaTheme="minorEastAsia"/>
          <w:b/>
          <w:bCs/>
        </w:rPr>
        <w:t xml:space="preserve"> </w:t>
      </w:r>
    </w:p>
    <w:p>
      <w:pPr>
        <w:pStyle w:val="18"/>
        <w:spacing w:before="156" w:beforeLines="50" w:after="156" w:afterLines="50" w:line="360" w:lineRule="auto"/>
        <w:ind w:firstLine="480" w:firstLineChars="200"/>
        <w:rPr>
          <w:rFonts w:hint="eastAsia" w:asciiTheme="minorEastAsia" w:hAnsiTheme="minorEastAsia" w:eastAsiaTheme="minorEastAsia"/>
        </w:rPr>
      </w:pPr>
      <w:r>
        <w:rPr>
          <w:rFonts w:hint="eastAsia" w:asciiTheme="minorEastAsia" w:hAnsiTheme="minorEastAsia" w:eastAsiaTheme="minorEastAsia"/>
        </w:rPr>
        <w:t>公司不存在超募资金使用的情况。</w:t>
      </w:r>
      <w:r>
        <w:rPr>
          <w:rFonts w:asciiTheme="minorEastAsia" w:hAnsiTheme="minorEastAsia" w:eastAsiaTheme="minorEastAsia"/>
        </w:rPr>
        <w:t xml:space="preserve"> </w:t>
      </w:r>
    </w:p>
    <w:p>
      <w:pPr>
        <w:pStyle w:val="18"/>
        <w:spacing w:before="156" w:beforeLines="50" w:after="156" w:afterLines="50" w:line="360" w:lineRule="auto"/>
        <w:ind w:firstLine="482" w:firstLineChars="200"/>
        <w:rPr>
          <w:rFonts w:hint="eastAsia" w:asciiTheme="minorEastAsia" w:hAnsiTheme="minorEastAsia" w:eastAsiaTheme="minorEastAsia"/>
          <w:b/>
          <w:bCs/>
        </w:rPr>
      </w:pPr>
      <w:r>
        <w:rPr>
          <w:rFonts w:hint="eastAsia" w:asciiTheme="minorEastAsia" w:hAnsiTheme="minorEastAsia" w:eastAsiaTheme="minorEastAsia"/>
          <w:b/>
          <w:bCs/>
        </w:rPr>
        <w:t>（八）尚未使用的募集资金用途及去向</w:t>
      </w:r>
      <w:r>
        <w:rPr>
          <w:rFonts w:asciiTheme="minorEastAsia" w:hAnsiTheme="minorEastAsia" w:eastAsiaTheme="minorEastAsia"/>
          <w:b/>
          <w:bCs/>
        </w:rPr>
        <w:t xml:space="preserve"> </w:t>
      </w:r>
    </w:p>
    <w:p>
      <w:pPr>
        <w:spacing w:before="156" w:beforeLines="50" w:after="156" w:afterLines="50"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截至202</w:t>
      </w:r>
      <w:r>
        <w:rPr>
          <w:rFonts w:asciiTheme="minorEastAsia" w:hAnsiTheme="minorEastAsia" w:eastAsiaTheme="minorEastAsia"/>
          <w:sz w:val="24"/>
        </w:rPr>
        <w:t>6</w:t>
      </w:r>
      <w:r>
        <w:rPr>
          <w:rFonts w:hint="eastAsia" w:asciiTheme="minorEastAsia" w:hAnsiTheme="minorEastAsia" w:eastAsiaTheme="minorEastAsia"/>
          <w:sz w:val="24"/>
        </w:rPr>
        <w:t>年6月3</w:t>
      </w:r>
      <w:r>
        <w:rPr>
          <w:rFonts w:asciiTheme="minorEastAsia" w:hAnsiTheme="minorEastAsia" w:eastAsiaTheme="minorEastAsia"/>
          <w:sz w:val="24"/>
        </w:rPr>
        <w:t>0</w:t>
      </w:r>
      <w:r>
        <w:rPr>
          <w:rFonts w:hint="eastAsia" w:asciiTheme="minorEastAsia" w:hAnsiTheme="minorEastAsia" w:eastAsiaTheme="minorEastAsia"/>
          <w:sz w:val="24"/>
        </w:rPr>
        <w:t>日，尚未使用的募集资金为</w:t>
      </w:r>
      <w:r>
        <w:rPr>
          <w:rFonts w:asciiTheme="minorEastAsia" w:hAnsiTheme="minorEastAsia" w:eastAsiaTheme="minorEastAsia"/>
          <w:sz w:val="24"/>
        </w:rPr>
        <w:t>16,226.61</w:t>
      </w:r>
      <w:r>
        <w:rPr>
          <w:rFonts w:hint="eastAsia" w:asciiTheme="minorEastAsia" w:hAnsiTheme="minorEastAsia" w:eastAsiaTheme="minorEastAsia"/>
          <w:sz w:val="24"/>
        </w:rPr>
        <w:t>万元，均存放于募集资金专户中。</w:t>
      </w:r>
    </w:p>
    <w:p>
      <w:pPr>
        <w:spacing w:before="156" w:beforeLines="50" w:after="156" w:afterLines="50" w:line="360" w:lineRule="auto"/>
        <w:ind w:firstLine="482" w:firstLineChars="200"/>
        <w:rPr>
          <w:rFonts w:hint="eastAsia"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sz w:val="24"/>
        </w:rPr>
        <w:t>（九）募集资金使用的其他情况</w:t>
      </w:r>
    </w:p>
    <w:p>
      <w:pPr>
        <w:pStyle w:val="18"/>
        <w:spacing w:before="50" w:after="50" w:line="360" w:lineRule="auto"/>
        <w:ind w:firstLine="480" w:firstLineChars="200"/>
        <w:rPr>
          <w:rFonts w:hint="eastAsia" w:asciiTheme="minorEastAsia" w:hAnsiTheme="minorEastAsia" w:eastAsiaTheme="minorEastAsia"/>
        </w:rPr>
      </w:pPr>
      <w:r>
        <w:rPr>
          <w:rFonts w:hint="eastAsia" w:asciiTheme="minorEastAsia" w:hAnsiTheme="minorEastAsia" w:eastAsiaTheme="minorEastAsia"/>
        </w:rPr>
        <w:t>公司不存在募集资金使用的其他情况。</w:t>
      </w:r>
      <w:r>
        <w:rPr>
          <w:rFonts w:asciiTheme="minorEastAsia" w:hAnsiTheme="minorEastAsia" w:eastAsiaTheme="minorEastAsia"/>
        </w:rPr>
        <w:t xml:space="preserve"> </w:t>
      </w:r>
    </w:p>
    <w:p>
      <w:pPr>
        <w:pStyle w:val="18"/>
        <w:spacing w:before="156" w:beforeLines="50" w:after="156" w:afterLines="50" w:line="360" w:lineRule="auto"/>
        <w:ind w:firstLine="482" w:firstLineChars="200"/>
        <w:rPr>
          <w:rFonts w:hint="eastAsia" w:cs="黑体" w:asciiTheme="minorEastAsia" w:hAnsiTheme="minorEastAsia" w:eastAsiaTheme="minorEastAsia"/>
          <w:b/>
          <w:bCs/>
        </w:rPr>
      </w:pPr>
      <w:r>
        <w:rPr>
          <w:rFonts w:hint="eastAsia" w:cs="黑体" w:asciiTheme="minorEastAsia" w:hAnsiTheme="minorEastAsia" w:eastAsiaTheme="minorEastAsia"/>
          <w:b/>
          <w:bCs/>
        </w:rPr>
        <w:t>四、变更募集资金投资项目的资金使用情况</w:t>
      </w:r>
      <w:r>
        <w:rPr>
          <w:rFonts w:cs="黑体" w:asciiTheme="minorEastAsia" w:hAnsiTheme="minorEastAsia" w:eastAsiaTheme="minorEastAsia"/>
          <w:b/>
          <w:bCs/>
        </w:rPr>
        <w:t xml:space="preserve"> </w:t>
      </w:r>
    </w:p>
    <w:p>
      <w:pPr>
        <w:spacing w:before="50" w:after="50"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公司于2</w:t>
      </w:r>
      <w:r>
        <w:rPr>
          <w:rFonts w:asciiTheme="minorEastAsia" w:hAnsiTheme="minorEastAsia" w:eastAsiaTheme="minorEastAsia"/>
          <w:sz w:val="24"/>
          <w:szCs w:val="24"/>
        </w:rPr>
        <w:t>026年</w:t>
      </w:r>
      <w:r>
        <w:rPr>
          <w:rFonts w:hint="eastAsia" w:asciiTheme="minorEastAsia" w:hAnsiTheme="minorEastAsia" w:eastAsiaTheme="minorEastAsia"/>
          <w:sz w:val="24"/>
          <w:szCs w:val="24"/>
        </w:rPr>
        <w:t>5月2</w:t>
      </w:r>
      <w:r>
        <w:rPr>
          <w:rFonts w:asciiTheme="minorEastAsia" w:hAnsiTheme="minorEastAsia" w:eastAsiaTheme="minorEastAsia"/>
          <w:sz w:val="24"/>
          <w:szCs w:val="24"/>
        </w:rPr>
        <w:t>5日</w:t>
      </w:r>
      <w:r>
        <w:rPr>
          <w:rFonts w:hint="eastAsia" w:asciiTheme="minorEastAsia" w:hAnsiTheme="minorEastAsia" w:eastAsiaTheme="minorEastAsia"/>
          <w:sz w:val="24"/>
          <w:szCs w:val="24"/>
        </w:rPr>
        <w:t>召开第六届董事会第七次会议、2</w:t>
      </w:r>
      <w:r>
        <w:rPr>
          <w:rFonts w:asciiTheme="minorEastAsia" w:hAnsiTheme="minorEastAsia" w:eastAsiaTheme="minorEastAsia"/>
          <w:sz w:val="24"/>
          <w:szCs w:val="24"/>
        </w:rPr>
        <w:t>026年第六届董事审计委员会第二次会议以及</w:t>
      </w:r>
      <w:r>
        <w:rPr>
          <w:rFonts w:hint="eastAsia" w:asciiTheme="minorEastAsia" w:hAnsiTheme="minorEastAsia" w:eastAsiaTheme="minorEastAsia"/>
          <w:sz w:val="24"/>
          <w:szCs w:val="24"/>
        </w:rPr>
        <w:t>2</w:t>
      </w:r>
      <w:r>
        <w:rPr>
          <w:rFonts w:asciiTheme="minorEastAsia" w:hAnsiTheme="minorEastAsia" w:eastAsiaTheme="minorEastAsia"/>
          <w:sz w:val="24"/>
          <w:szCs w:val="24"/>
        </w:rPr>
        <w:t>026年第六届独立董事专门会议第二次会议，</w:t>
      </w:r>
      <w:r>
        <w:rPr>
          <w:rFonts w:hint="eastAsia" w:asciiTheme="minorEastAsia" w:hAnsiTheme="minorEastAsia" w:eastAsiaTheme="minorEastAsia"/>
          <w:sz w:val="24"/>
          <w:szCs w:val="24"/>
        </w:rPr>
        <w:t>并于2</w:t>
      </w:r>
      <w:r>
        <w:rPr>
          <w:rFonts w:asciiTheme="minorEastAsia" w:hAnsiTheme="minorEastAsia" w:eastAsiaTheme="minorEastAsia"/>
          <w:sz w:val="24"/>
          <w:szCs w:val="24"/>
        </w:rPr>
        <w:t>026年</w:t>
      </w:r>
      <w:r>
        <w:rPr>
          <w:rFonts w:hint="eastAsia" w:asciiTheme="minorEastAsia" w:hAnsiTheme="minorEastAsia" w:eastAsiaTheme="minorEastAsia"/>
          <w:sz w:val="24"/>
          <w:szCs w:val="24"/>
        </w:rPr>
        <w:t>6月1</w:t>
      </w:r>
      <w:r>
        <w:rPr>
          <w:rFonts w:asciiTheme="minorEastAsia" w:hAnsiTheme="minorEastAsia" w:eastAsiaTheme="minorEastAsia"/>
          <w:sz w:val="24"/>
          <w:szCs w:val="24"/>
        </w:rPr>
        <w:t>0日召开</w:t>
      </w:r>
      <w:r>
        <w:rPr>
          <w:rFonts w:hint="eastAsia" w:asciiTheme="minorEastAsia" w:hAnsiTheme="minorEastAsia" w:eastAsiaTheme="minorEastAsia"/>
          <w:sz w:val="24"/>
          <w:szCs w:val="24"/>
        </w:rPr>
        <w:t>2</w:t>
      </w:r>
      <w:r>
        <w:rPr>
          <w:rFonts w:asciiTheme="minorEastAsia" w:hAnsiTheme="minorEastAsia" w:eastAsiaTheme="minorEastAsia"/>
          <w:sz w:val="24"/>
          <w:szCs w:val="24"/>
        </w:rPr>
        <w:t>026年第二次临时股东会，审议通过了《关于变更部分募集资金用途的议案》</w:t>
      </w:r>
      <w:r>
        <w:rPr>
          <w:rFonts w:hint="eastAsia" w:cs="宋体" w:asciiTheme="minorEastAsia" w:hAnsiTheme="minorEastAsia" w:eastAsiaTheme="minorEastAsia"/>
          <w:color w:val="000000"/>
          <w:kern w:val="0"/>
          <w:sz w:val="24"/>
        </w:rPr>
        <w:t>，同意公司将拟投入</w:t>
      </w:r>
      <w:r>
        <w:rPr>
          <w:rFonts w:asciiTheme="minorEastAsia" w:hAnsiTheme="minorEastAsia" w:eastAsiaTheme="minorEastAsia"/>
          <w:sz w:val="24"/>
          <w:szCs w:val="24"/>
        </w:rPr>
        <w:t>“智能计量表具终端未来工厂建设项目”和“智慧城市先进计量及系统产业研发中心建设项目”的募集资金用途变更投入至“新一代智慧能源终端智能制造基地建设项目”，同时将未使用的募集资金产生的利息净额一并投入该项目，项目</w:t>
      </w:r>
      <w:r>
        <w:rPr>
          <w:rFonts w:hint="eastAsia" w:ascii="宋体" w:hAnsi="宋体"/>
          <w:sz w:val="24"/>
          <w:szCs w:val="24"/>
        </w:rPr>
        <w:t>投资总额约</w:t>
      </w:r>
      <w:r>
        <w:rPr>
          <w:rFonts w:ascii="宋体" w:hAnsi="宋体"/>
          <w:sz w:val="24"/>
          <w:szCs w:val="24"/>
        </w:rPr>
        <w:t>为40,059.90万元</w:t>
      </w:r>
      <w:r>
        <w:rPr>
          <w:rFonts w:hint="eastAsia" w:ascii="宋体" w:hAnsi="宋体"/>
          <w:sz w:val="24"/>
          <w:szCs w:val="24"/>
        </w:rPr>
        <w:t>，资金来源为原募投项目的募集资金</w:t>
      </w:r>
      <w:r>
        <w:rPr>
          <w:rFonts w:ascii="宋体" w:hAnsi="宋体"/>
          <w:sz w:val="24"/>
          <w:szCs w:val="24"/>
        </w:rPr>
        <w:t>19,858.37</w:t>
      </w:r>
      <w:r>
        <w:rPr>
          <w:rFonts w:hint="eastAsia" w:ascii="宋体" w:hAnsi="宋体"/>
          <w:sz w:val="24"/>
          <w:szCs w:val="24"/>
        </w:rPr>
        <w:t>万元（含利息收入），</w:t>
      </w:r>
      <w:r>
        <w:rPr>
          <w:rFonts w:asciiTheme="minorEastAsia" w:hAnsiTheme="minorEastAsia" w:eastAsiaTheme="minorEastAsia"/>
          <w:sz w:val="24"/>
          <w:szCs w:val="24"/>
        </w:rPr>
        <w:t>不足部分以公司自有或自筹资金投入。具体情况详见公司</w:t>
      </w:r>
      <w:r>
        <w:rPr>
          <w:rFonts w:hint="eastAsia" w:asciiTheme="minorEastAsia" w:hAnsiTheme="minorEastAsia" w:eastAsiaTheme="minorEastAsia"/>
          <w:sz w:val="24"/>
          <w:szCs w:val="24"/>
        </w:rPr>
        <w:t>2</w:t>
      </w:r>
      <w:r>
        <w:rPr>
          <w:rFonts w:asciiTheme="minorEastAsia" w:hAnsiTheme="minorEastAsia" w:eastAsiaTheme="minorEastAsia"/>
          <w:sz w:val="24"/>
          <w:szCs w:val="24"/>
        </w:rPr>
        <w:t>026年</w:t>
      </w:r>
      <w:r>
        <w:rPr>
          <w:rFonts w:hint="eastAsia" w:asciiTheme="minorEastAsia" w:hAnsiTheme="minorEastAsia" w:eastAsiaTheme="minorEastAsia"/>
          <w:sz w:val="24"/>
          <w:szCs w:val="24"/>
        </w:rPr>
        <w:t>5月2</w:t>
      </w:r>
      <w:r>
        <w:rPr>
          <w:rFonts w:asciiTheme="minorEastAsia" w:hAnsiTheme="minorEastAsia" w:eastAsiaTheme="minorEastAsia"/>
          <w:sz w:val="24"/>
          <w:szCs w:val="24"/>
        </w:rPr>
        <w:t>6日披露的《</w:t>
      </w:r>
      <w:r>
        <w:rPr>
          <w:rFonts w:hint="eastAsia" w:asciiTheme="minorEastAsia" w:hAnsiTheme="minorEastAsia" w:eastAsiaTheme="minorEastAsia"/>
          <w:sz w:val="24"/>
          <w:szCs w:val="24"/>
        </w:rPr>
        <w:t>关于变更部分募集资金用途、变更部分募集资金专户及使用募集资金向全资下属公司增资以实施募投项目的公告》（公告编号：2</w:t>
      </w:r>
      <w:r>
        <w:rPr>
          <w:rFonts w:asciiTheme="minorEastAsia" w:hAnsiTheme="minorEastAsia" w:eastAsiaTheme="minorEastAsia"/>
          <w:sz w:val="24"/>
          <w:szCs w:val="24"/>
        </w:rPr>
        <w:t>026-037）和</w:t>
      </w:r>
      <w:r>
        <w:rPr>
          <w:rFonts w:hint="eastAsia" w:asciiTheme="minorEastAsia" w:hAnsiTheme="minorEastAsia" w:eastAsiaTheme="minorEastAsia"/>
          <w:sz w:val="24"/>
          <w:szCs w:val="24"/>
        </w:rPr>
        <w:t>2</w:t>
      </w:r>
      <w:r>
        <w:rPr>
          <w:rFonts w:asciiTheme="minorEastAsia" w:hAnsiTheme="minorEastAsia" w:eastAsiaTheme="minorEastAsia"/>
          <w:sz w:val="24"/>
          <w:szCs w:val="24"/>
        </w:rPr>
        <w:t>026年</w:t>
      </w:r>
      <w:r>
        <w:rPr>
          <w:rFonts w:hint="eastAsia" w:asciiTheme="minorEastAsia" w:hAnsiTheme="minorEastAsia" w:eastAsiaTheme="minorEastAsia"/>
          <w:sz w:val="24"/>
          <w:szCs w:val="24"/>
        </w:rPr>
        <w:t>6月1</w:t>
      </w:r>
      <w:r>
        <w:rPr>
          <w:rFonts w:asciiTheme="minorEastAsia" w:hAnsiTheme="minorEastAsia" w:eastAsiaTheme="minorEastAsia"/>
          <w:sz w:val="24"/>
          <w:szCs w:val="24"/>
        </w:rPr>
        <w:t>3日披露的《关于变更募集资金用途后重新开立募集资金专户并签订募集资金监管协议的公告》（公告编号：</w:t>
      </w:r>
      <w:r>
        <w:rPr>
          <w:rFonts w:hint="eastAsia" w:asciiTheme="minorEastAsia" w:hAnsiTheme="minorEastAsia" w:eastAsiaTheme="minorEastAsia"/>
          <w:sz w:val="24"/>
          <w:szCs w:val="24"/>
        </w:rPr>
        <w:t>2</w:t>
      </w:r>
      <w:r>
        <w:rPr>
          <w:rFonts w:asciiTheme="minorEastAsia" w:hAnsiTheme="minorEastAsia" w:eastAsiaTheme="minorEastAsia"/>
          <w:sz w:val="24"/>
          <w:szCs w:val="24"/>
        </w:rPr>
        <w:t>026-041）。</w:t>
      </w:r>
    </w:p>
    <w:p>
      <w:pPr>
        <w:spacing w:before="50" w:after="50" w:line="360" w:lineRule="auto"/>
        <w:ind w:firstLine="482" w:firstLineChars="200"/>
        <w:rPr>
          <w:rFonts w:hint="eastAsia" w:cs="黑体" w:asciiTheme="minorEastAsia" w:hAnsiTheme="minorEastAsia" w:eastAsiaTheme="minorEastAsia"/>
          <w:b/>
          <w:bCs/>
          <w:sz w:val="24"/>
          <w:szCs w:val="24"/>
        </w:rPr>
      </w:pPr>
      <w:r>
        <w:rPr>
          <w:rFonts w:hint="eastAsia" w:cs="黑体" w:asciiTheme="minorEastAsia" w:hAnsiTheme="minorEastAsia" w:eastAsiaTheme="minorEastAsia"/>
          <w:b/>
          <w:bCs/>
          <w:sz w:val="24"/>
          <w:szCs w:val="24"/>
        </w:rPr>
        <w:t>五、募集资金使用及披露中存在的问题</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firstLineChars="200"/>
        <w:jc w:val="left"/>
        <w:rPr>
          <w:rFonts w:hint="eastAsia" w:cs="宋体" w:asciiTheme="minorEastAsia" w:hAnsiTheme="minorEastAsia" w:eastAsiaTheme="minorEastAsia"/>
          <w:color w:val="000000"/>
          <w:kern w:val="0"/>
          <w:sz w:val="24"/>
          <w:szCs w:val="24"/>
        </w:rPr>
      </w:pPr>
      <w:r>
        <w:rPr>
          <w:rFonts w:hint="eastAsia" w:cs="宋体" w:asciiTheme="minorEastAsia" w:hAnsiTheme="minorEastAsia" w:eastAsiaTheme="minorEastAsia"/>
          <w:color w:val="000000"/>
          <w:kern w:val="0"/>
          <w:sz w:val="24"/>
          <w:szCs w:val="24"/>
        </w:rPr>
        <w:t>公司已按《深圳证券交易所上市</w:t>
      </w:r>
      <w:bookmarkStart w:id="2" w:name="_GoBack"/>
      <w:bookmarkEnd w:id="2"/>
      <w:r>
        <w:rPr>
          <w:rFonts w:hint="eastAsia" w:cs="宋体" w:asciiTheme="minorEastAsia" w:hAnsiTheme="minorEastAsia" w:eastAsiaTheme="minorEastAsia"/>
          <w:color w:val="000000"/>
          <w:kern w:val="0"/>
          <w:sz w:val="24"/>
          <w:szCs w:val="24"/>
        </w:rPr>
        <w:t>公司自律监管指引第1号</w:t>
      </w:r>
      <w:r>
        <w:rPr>
          <w:rFonts w:hint="eastAsia" w:asciiTheme="minorEastAsia" w:hAnsiTheme="minorEastAsia" w:eastAsiaTheme="minorEastAsia" w:cstheme="minorBidi"/>
          <w:sz w:val="24"/>
          <w:szCs w:val="22"/>
        </w:rPr>
        <w:t>——</w:t>
      </w:r>
      <w:r>
        <w:rPr>
          <w:rFonts w:hint="eastAsia" w:cs="宋体" w:asciiTheme="minorEastAsia" w:hAnsiTheme="minorEastAsia" w:eastAsiaTheme="minorEastAsia"/>
          <w:color w:val="000000"/>
          <w:kern w:val="0"/>
          <w:sz w:val="24"/>
          <w:szCs w:val="24"/>
        </w:rPr>
        <w:t>主板上市公司规范运作》《上市公司募集资金监管规则》《深圳证券交易所上市公司自律监管指南第2号—公告格式》和公司《募集资金管理制度》的相关规定及时、真实、准确、完整地披露了202</w:t>
      </w:r>
      <w:r>
        <w:rPr>
          <w:rFonts w:cs="宋体" w:asciiTheme="minorEastAsia" w:hAnsiTheme="minorEastAsia" w:eastAsiaTheme="minorEastAsia"/>
          <w:color w:val="000000"/>
          <w:kern w:val="0"/>
          <w:sz w:val="24"/>
          <w:szCs w:val="24"/>
        </w:rPr>
        <w:t>6</w:t>
      </w:r>
      <w:r>
        <w:rPr>
          <w:rFonts w:hint="eastAsia" w:cs="宋体" w:asciiTheme="minorEastAsia" w:hAnsiTheme="minorEastAsia" w:eastAsiaTheme="minorEastAsia"/>
          <w:color w:val="000000"/>
          <w:kern w:val="0"/>
          <w:sz w:val="24"/>
          <w:szCs w:val="24"/>
        </w:rPr>
        <w:t>年半年度募集资金的存放与使用情况，做到专用账户存储管理、专款专用，本次募集资金的存放、使用、管理及披露不存在违法、违规的情形。</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firstLineChars="200"/>
        <w:jc w:val="left"/>
        <w:rPr>
          <w:rFonts w:hint="eastAsia" w:asciiTheme="minorEastAsia" w:hAnsiTheme="minorEastAsia" w:eastAsiaTheme="minorEastAsia"/>
          <w:bCs/>
          <w:sz w:val="24"/>
          <w:szCs w:val="24"/>
        </w:rPr>
      </w:pP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firstLineChars="200"/>
        <w:jc w:val="lef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附件：1. 募集资金使用情况对照表</w:t>
      </w:r>
    </w:p>
    <w:p>
      <w:pPr>
        <w:spacing w:line="360" w:lineRule="auto"/>
        <w:ind w:firstLine="1200" w:firstLineChars="500"/>
        <w:rPr>
          <w:rFonts w:hint="eastAsia" w:cs="宋体" w:asciiTheme="minorEastAsia" w:hAnsiTheme="minorEastAsia" w:eastAsiaTheme="minorEastAsia"/>
          <w:b/>
          <w:bCs/>
          <w:kern w:val="0"/>
          <w:sz w:val="28"/>
          <w:szCs w:val="28"/>
        </w:rPr>
      </w:pPr>
      <w:r>
        <w:rPr>
          <w:rFonts w:asciiTheme="minorEastAsia" w:hAnsiTheme="minorEastAsia" w:eastAsiaTheme="minorEastAsia"/>
          <w:bCs/>
          <w:sz w:val="24"/>
          <w:szCs w:val="24"/>
        </w:rPr>
        <w:t>2.</w:t>
      </w:r>
      <w:r>
        <w:rPr>
          <w:rFonts w:hint="eastAsia" w:asciiTheme="minorEastAsia" w:hAnsiTheme="minorEastAsia" w:eastAsiaTheme="minorEastAsia"/>
          <w:bCs/>
          <w:sz w:val="24"/>
          <w:szCs w:val="24"/>
        </w:rPr>
        <w:t xml:space="preserve"> 变更募集资金投资项目情况表</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firstLineChars="200"/>
        <w:jc w:val="left"/>
        <w:rPr>
          <w:rFonts w:hint="eastAsia" w:asciiTheme="minorEastAsia" w:hAnsiTheme="minorEastAsia" w:eastAsiaTheme="minorEastAsia"/>
          <w:bCs/>
          <w:sz w:val="24"/>
          <w:szCs w:val="24"/>
        </w:rPr>
      </w:pPr>
    </w:p>
    <w:p>
      <w:pPr>
        <w:tabs>
          <w:tab w:val="left" w:pos="4620"/>
        </w:tabs>
        <w:spacing w:line="360" w:lineRule="auto"/>
        <w:ind w:firstLine="420" w:firstLineChars="200"/>
        <w:jc w:val="right"/>
        <w:rPr>
          <w:rFonts w:hint="eastAsia" w:asciiTheme="minorEastAsia" w:hAnsiTheme="minorEastAsia" w:eastAsiaTheme="minorEastAsia"/>
          <w:szCs w:val="21"/>
        </w:rPr>
      </w:pPr>
    </w:p>
    <w:p>
      <w:pPr>
        <w:tabs>
          <w:tab w:val="left" w:pos="4620"/>
        </w:tabs>
        <w:spacing w:line="360" w:lineRule="auto"/>
        <w:ind w:firstLine="420" w:firstLineChars="200"/>
        <w:jc w:val="right"/>
        <w:rPr>
          <w:rFonts w:hint="eastAsia" w:asciiTheme="minorEastAsia" w:hAnsiTheme="minorEastAsia" w:eastAsiaTheme="minorEastAsia"/>
          <w:szCs w:val="21"/>
        </w:rPr>
      </w:pPr>
    </w:p>
    <w:p>
      <w:pPr>
        <w:tabs>
          <w:tab w:val="left" w:pos="4620"/>
        </w:tabs>
        <w:spacing w:line="360" w:lineRule="auto"/>
        <w:ind w:firstLine="420" w:firstLineChars="200"/>
        <w:jc w:val="right"/>
        <w:rPr>
          <w:rFonts w:hint="eastAsia" w:asciiTheme="minorEastAsia" w:hAnsiTheme="minorEastAsia" w:eastAsiaTheme="minorEastAsia"/>
          <w:szCs w:val="21"/>
        </w:rPr>
      </w:pP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righ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浙江威星智能仪表股份有限公司董事会</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righ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202</w:t>
      </w:r>
      <w:r>
        <w:rPr>
          <w:rFonts w:asciiTheme="minorEastAsia" w:hAnsiTheme="minorEastAsia" w:eastAsiaTheme="minorEastAsia"/>
          <w:sz w:val="24"/>
          <w:szCs w:val="24"/>
        </w:rPr>
        <w:t>6</w:t>
      </w:r>
      <w:r>
        <w:rPr>
          <w:rFonts w:hint="eastAsia" w:asciiTheme="minorEastAsia" w:hAnsiTheme="minorEastAsia" w:eastAsiaTheme="minorEastAsia"/>
          <w:sz w:val="24"/>
          <w:szCs w:val="24"/>
        </w:rPr>
        <w:t>年8月2</w:t>
      </w:r>
      <w:r>
        <w:rPr>
          <w:rFonts w:asciiTheme="minorEastAsia" w:hAnsiTheme="minorEastAsia" w:eastAsiaTheme="minorEastAsia"/>
          <w:sz w:val="24"/>
          <w:szCs w:val="24"/>
        </w:rPr>
        <w:t>6</w:t>
      </w:r>
      <w:r>
        <w:rPr>
          <w:rFonts w:hint="eastAsia" w:asciiTheme="minorEastAsia" w:hAnsiTheme="minorEastAsia" w:eastAsiaTheme="minorEastAsia"/>
          <w:sz w:val="24"/>
          <w:szCs w:val="24"/>
        </w:rPr>
        <w:t>日</w:t>
      </w:r>
    </w:p>
    <w:p>
      <w:pPr>
        <w:tabs>
          <w:tab w:val="left" w:pos="4620"/>
        </w:tabs>
        <w:spacing w:line="360" w:lineRule="auto"/>
        <w:ind w:firstLine="422" w:firstLineChars="200"/>
        <w:rPr>
          <w:rFonts w:hint="eastAsia" w:asciiTheme="minorEastAsia" w:hAnsiTheme="minorEastAsia" w:eastAsiaTheme="minorEastAsia"/>
          <w:b/>
          <w:szCs w:val="21"/>
        </w:rPr>
        <w:sectPr>
          <w:footerReference r:id="rId3" w:type="default"/>
          <w:pgSz w:w="11906" w:h="16838"/>
          <w:pgMar w:top="1440" w:right="1803" w:bottom="1440" w:left="1803" w:header="851" w:footer="992" w:gutter="0"/>
          <w:pgNumType w:start="1"/>
          <w:cols w:space="425" w:num="1"/>
          <w:docGrid w:type="lines" w:linePitch="312" w:charSpace="0"/>
        </w:sectPr>
      </w:pPr>
    </w:p>
    <w:p>
      <w:pPr>
        <w:spacing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附件1</w:t>
      </w:r>
    </w:p>
    <w:p>
      <w:pPr>
        <w:spacing w:line="360" w:lineRule="auto"/>
        <w:jc w:val="center"/>
        <w:rPr>
          <w:rFonts w:hint="eastAsia" w:cs="宋体" w:asciiTheme="minorEastAsia" w:hAnsiTheme="minorEastAsia" w:eastAsiaTheme="minorEastAsia"/>
          <w:b/>
          <w:bCs/>
          <w:kern w:val="0"/>
          <w:sz w:val="28"/>
          <w:szCs w:val="28"/>
        </w:rPr>
      </w:pPr>
      <w:r>
        <w:rPr>
          <w:rFonts w:hint="eastAsia" w:cs="宋体" w:asciiTheme="minorEastAsia" w:hAnsiTheme="minorEastAsia" w:eastAsiaTheme="minorEastAsia"/>
          <w:b/>
          <w:bCs/>
          <w:kern w:val="0"/>
          <w:sz w:val="28"/>
          <w:szCs w:val="28"/>
        </w:rPr>
        <w:t>募集资金使用情况对照表</w:t>
      </w:r>
    </w:p>
    <w:p>
      <w:pPr>
        <w:spacing w:line="360" w:lineRule="auto"/>
        <w:jc w:val="center"/>
        <w:rPr>
          <w:rFonts w:hint="eastAsia"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20</w:t>
      </w:r>
      <w:r>
        <w:rPr>
          <w:rFonts w:hint="eastAsia" w:asciiTheme="minorEastAsia" w:hAnsiTheme="minorEastAsia" w:eastAsiaTheme="minorEastAsia"/>
          <w:color w:val="000000"/>
          <w:szCs w:val="21"/>
        </w:rPr>
        <w:t>2</w:t>
      </w:r>
      <w:r>
        <w:rPr>
          <w:rFonts w:asciiTheme="minorEastAsia" w:hAnsiTheme="minorEastAsia" w:eastAsiaTheme="minorEastAsia"/>
          <w:color w:val="000000"/>
          <w:szCs w:val="21"/>
        </w:rPr>
        <w:t>6</w:t>
      </w:r>
      <w:r>
        <w:rPr>
          <w:rFonts w:hint="eastAsia" w:cs="宋体" w:asciiTheme="minorEastAsia" w:hAnsiTheme="minorEastAsia" w:eastAsiaTheme="minorEastAsia"/>
          <w:color w:val="000000"/>
          <w:kern w:val="0"/>
          <w:szCs w:val="21"/>
        </w:rPr>
        <w:t>年1-6月</w:t>
      </w:r>
    </w:p>
    <w:p>
      <w:pPr>
        <w:spacing w:line="360" w:lineRule="auto"/>
        <w:rPr>
          <w:rFonts w:hint="eastAsia" w:asciiTheme="minorEastAsia" w:hAnsiTheme="minorEastAsia" w:eastAsiaTheme="minorEastAsia"/>
          <w:color w:val="000000"/>
          <w:szCs w:val="21"/>
        </w:rPr>
      </w:pPr>
      <w:r>
        <w:rPr>
          <w:rFonts w:hint="eastAsia" w:cs="宋体" w:asciiTheme="minorEastAsia" w:hAnsiTheme="minorEastAsia" w:eastAsiaTheme="minorEastAsia"/>
          <w:color w:val="000000"/>
          <w:kern w:val="0"/>
          <w:szCs w:val="21"/>
        </w:rPr>
        <w:t>编制单位：浙江威星智能仪表股份有限公司</w:t>
      </w:r>
      <w:r>
        <w:rPr>
          <w:rFonts w:hint="eastAsia" w:cs="宋体" w:asciiTheme="minorEastAsia" w:hAnsiTheme="minorEastAsia" w:eastAsiaTheme="minorEastAsia"/>
          <w:color w:val="000000"/>
          <w:kern w:val="0"/>
          <w:szCs w:val="21"/>
        </w:rPr>
        <w:tab/>
      </w:r>
      <w:r>
        <w:rPr>
          <w:rFonts w:hint="eastAsia" w:cs="宋体" w:asciiTheme="minorEastAsia" w:hAnsiTheme="minorEastAsia" w:eastAsiaTheme="minorEastAsia"/>
          <w:color w:val="000000"/>
          <w:kern w:val="0"/>
          <w:szCs w:val="21"/>
        </w:rPr>
        <w:tab/>
      </w:r>
      <w:r>
        <w:rPr>
          <w:rFonts w:hint="eastAsia" w:cs="宋体" w:asciiTheme="minorEastAsia" w:hAnsiTheme="minorEastAsia" w:eastAsiaTheme="minorEastAsia"/>
          <w:color w:val="000000"/>
          <w:kern w:val="0"/>
          <w:szCs w:val="21"/>
        </w:rPr>
        <w:tab/>
      </w:r>
      <w:r>
        <w:rPr>
          <w:rFonts w:hint="eastAsia" w:cs="宋体" w:asciiTheme="minorEastAsia" w:hAnsiTheme="minorEastAsia" w:eastAsiaTheme="minorEastAsia"/>
          <w:color w:val="000000"/>
          <w:kern w:val="0"/>
          <w:szCs w:val="21"/>
        </w:rPr>
        <w:tab/>
      </w:r>
      <w:r>
        <w:rPr>
          <w:rFonts w:hint="eastAsia" w:cs="宋体" w:asciiTheme="minorEastAsia" w:hAnsiTheme="minorEastAsia" w:eastAsiaTheme="minorEastAsia"/>
          <w:color w:val="000000"/>
          <w:kern w:val="0"/>
          <w:szCs w:val="21"/>
        </w:rPr>
        <w:tab/>
      </w:r>
      <w:r>
        <w:rPr>
          <w:rFonts w:hint="eastAsia" w:cs="宋体" w:asciiTheme="minorEastAsia" w:hAnsiTheme="minorEastAsia" w:eastAsiaTheme="minorEastAsia"/>
          <w:color w:val="000000"/>
          <w:kern w:val="0"/>
          <w:szCs w:val="21"/>
        </w:rPr>
        <w:tab/>
      </w:r>
      <w:r>
        <w:rPr>
          <w:rFonts w:hint="eastAsia" w:cs="宋体" w:asciiTheme="minorEastAsia" w:hAnsiTheme="minorEastAsia" w:eastAsiaTheme="minorEastAsia"/>
          <w:color w:val="000000"/>
          <w:kern w:val="0"/>
          <w:szCs w:val="21"/>
        </w:rPr>
        <w:tab/>
      </w:r>
      <w:r>
        <w:rPr>
          <w:rFonts w:hint="eastAsia" w:cs="宋体" w:asciiTheme="minorEastAsia" w:hAnsiTheme="minorEastAsia" w:eastAsiaTheme="minorEastAsia"/>
          <w:color w:val="000000"/>
          <w:kern w:val="0"/>
          <w:szCs w:val="21"/>
        </w:rPr>
        <w:tab/>
      </w:r>
      <w:r>
        <w:rPr>
          <w:rFonts w:hint="eastAsia" w:cs="宋体" w:asciiTheme="minorEastAsia" w:hAnsiTheme="minorEastAsia" w:eastAsiaTheme="minorEastAsia"/>
          <w:color w:val="000000"/>
          <w:kern w:val="0"/>
          <w:szCs w:val="21"/>
        </w:rPr>
        <w:tab/>
      </w:r>
      <w:r>
        <w:rPr>
          <w:rFonts w:hint="eastAsia" w:cs="宋体" w:asciiTheme="minorEastAsia" w:hAnsiTheme="minorEastAsia" w:eastAsiaTheme="minorEastAsia"/>
          <w:color w:val="000000"/>
          <w:kern w:val="0"/>
          <w:szCs w:val="21"/>
        </w:rPr>
        <w:tab/>
      </w:r>
      <w:r>
        <w:rPr>
          <w:rFonts w:hint="eastAsia" w:cs="宋体" w:asciiTheme="minorEastAsia" w:hAnsiTheme="minorEastAsia" w:eastAsiaTheme="minorEastAsia"/>
          <w:color w:val="000000"/>
          <w:kern w:val="0"/>
          <w:szCs w:val="21"/>
        </w:rPr>
        <w:tab/>
      </w:r>
      <w:r>
        <w:rPr>
          <w:rFonts w:hint="eastAsia" w:cs="宋体" w:asciiTheme="minorEastAsia" w:hAnsiTheme="minorEastAsia" w:eastAsiaTheme="minorEastAsia"/>
          <w:color w:val="000000"/>
          <w:kern w:val="0"/>
          <w:szCs w:val="21"/>
        </w:rPr>
        <w:tab/>
      </w:r>
      <w:r>
        <w:rPr>
          <w:rFonts w:hint="eastAsia" w:cs="宋体" w:asciiTheme="minorEastAsia" w:hAnsiTheme="minorEastAsia" w:eastAsiaTheme="minorEastAsia"/>
          <w:color w:val="000000"/>
          <w:kern w:val="0"/>
          <w:szCs w:val="21"/>
        </w:rPr>
        <w:tab/>
      </w:r>
      <w:r>
        <w:rPr>
          <w:rFonts w:hint="eastAsia" w:cs="宋体" w:asciiTheme="minorEastAsia" w:hAnsiTheme="minorEastAsia" w:eastAsiaTheme="minorEastAsia"/>
          <w:color w:val="000000"/>
          <w:kern w:val="0"/>
          <w:szCs w:val="21"/>
        </w:rPr>
        <w:tab/>
      </w:r>
      <w:r>
        <w:rPr>
          <w:rFonts w:hint="eastAsia" w:cs="宋体" w:asciiTheme="minorEastAsia" w:hAnsiTheme="minorEastAsia" w:eastAsiaTheme="minorEastAsia"/>
          <w:color w:val="000000"/>
          <w:kern w:val="0"/>
          <w:szCs w:val="21"/>
        </w:rPr>
        <w:tab/>
      </w:r>
      <w:r>
        <w:rPr>
          <w:rFonts w:hint="eastAsia" w:cs="宋体" w:asciiTheme="minorEastAsia" w:hAnsiTheme="minorEastAsia" w:eastAsiaTheme="minorEastAsia"/>
          <w:color w:val="000000"/>
          <w:kern w:val="0"/>
          <w:szCs w:val="21"/>
        </w:rPr>
        <w:tab/>
      </w:r>
      <w:r>
        <w:rPr>
          <w:rFonts w:hint="eastAsia" w:cs="宋体" w:asciiTheme="minorEastAsia" w:hAnsiTheme="minorEastAsia" w:eastAsiaTheme="minorEastAsia"/>
          <w:color w:val="000000"/>
          <w:kern w:val="0"/>
          <w:szCs w:val="21"/>
        </w:rPr>
        <w:tab/>
      </w:r>
      <w:r>
        <w:rPr>
          <w:rFonts w:hint="eastAsia" w:cs="宋体" w:asciiTheme="minorEastAsia" w:hAnsiTheme="minorEastAsia" w:eastAsiaTheme="minorEastAsia"/>
          <w:color w:val="000000"/>
          <w:kern w:val="0"/>
          <w:szCs w:val="21"/>
        </w:rPr>
        <w:tab/>
      </w:r>
      <w:r>
        <w:rPr>
          <w:rFonts w:hint="eastAsia" w:cs="宋体" w:asciiTheme="minorEastAsia" w:hAnsiTheme="minorEastAsia" w:eastAsiaTheme="minorEastAsia"/>
          <w:color w:val="000000"/>
          <w:kern w:val="0"/>
          <w:szCs w:val="21"/>
        </w:rPr>
        <w:tab/>
      </w:r>
      <w:r>
        <w:rPr>
          <w:rFonts w:hint="eastAsia" w:cs="宋体" w:asciiTheme="minorEastAsia" w:hAnsiTheme="minorEastAsia" w:eastAsiaTheme="minorEastAsia"/>
          <w:color w:val="000000"/>
          <w:kern w:val="0"/>
          <w:szCs w:val="21"/>
        </w:rPr>
        <w:t xml:space="preserve"> 金额单位：人民币万元</w:t>
      </w:r>
    </w:p>
    <w:tbl>
      <w:tblPr>
        <w:tblStyle w:val="8"/>
        <w:tblW w:w="5000" w:type="pct"/>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507"/>
        <w:gridCol w:w="1185"/>
        <w:gridCol w:w="1358"/>
        <w:gridCol w:w="1349"/>
        <w:gridCol w:w="1174"/>
        <w:gridCol w:w="1347"/>
        <w:gridCol w:w="1349"/>
        <w:gridCol w:w="1721"/>
        <w:gridCol w:w="967"/>
        <w:gridCol w:w="1004"/>
        <w:gridCol w:w="1213"/>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1429" w:type="pct"/>
            <w:gridSpan w:val="3"/>
            <w:vAlign w:val="center"/>
          </w:tcPr>
          <w:p>
            <w:pPr>
              <w:adjustRightInd w:val="0"/>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募集资金总额</w:t>
            </w:r>
          </w:p>
        </w:tc>
        <w:tc>
          <w:tcPr>
            <w:tcW w:w="890" w:type="pct"/>
            <w:gridSpan w:val="2"/>
            <w:vAlign w:val="center"/>
          </w:tcPr>
          <w:p>
            <w:pPr>
              <w:adjustRightInd w:val="0"/>
              <w:jc w:val="center"/>
              <w:rPr>
                <w:rFonts w:hint="eastAsia" w:cs="宋体" w:asciiTheme="minorEastAsia" w:hAnsiTheme="minorEastAsia" w:eastAsiaTheme="minorEastAsia"/>
                <w:kern w:val="0"/>
                <w:sz w:val="18"/>
                <w:szCs w:val="18"/>
              </w:rPr>
            </w:pPr>
            <w:r>
              <w:rPr>
                <w:color w:val="000000"/>
                <w:sz w:val="18"/>
                <w:szCs w:val="18"/>
              </w:rPr>
              <w:t>37,938.34</w:t>
            </w:r>
          </w:p>
        </w:tc>
        <w:tc>
          <w:tcPr>
            <w:tcW w:w="951" w:type="pct"/>
            <w:gridSpan w:val="2"/>
            <w:vAlign w:val="center"/>
          </w:tcPr>
          <w:p>
            <w:pPr>
              <w:adjustRightInd w:val="0"/>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本年度投入募集资金总额</w:t>
            </w:r>
          </w:p>
        </w:tc>
        <w:tc>
          <w:tcPr>
            <w:tcW w:w="1730" w:type="pct"/>
            <w:gridSpan w:val="4"/>
            <w:vAlign w:val="center"/>
          </w:tcPr>
          <w:p>
            <w:pPr>
              <w:widowControl/>
              <w:jc w:val="center"/>
              <w:textAlignment w:val="center"/>
              <w:rPr>
                <w:rFonts w:hint="eastAsia" w:cs="宋体" w:asciiTheme="minorEastAsia" w:hAnsiTheme="minorEastAsia" w:eastAsiaTheme="minorEastAsia"/>
                <w:color w:val="000000"/>
                <w:sz w:val="18"/>
                <w:szCs w:val="18"/>
              </w:rPr>
            </w:pPr>
            <w:r>
              <w:rPr>
                <w:color w:val="000000"/>
                <w:sz w:val="18"/>
                <w:szCs w:val="18"/>
              </w:rPr>
              <w:t>4,428.88</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1429" w:type="pct"/>
            <w:gridSpan w:val="3"/>
            <w:vAlign w:val="center"/>
          </w:tcPr>
          <w:p>
            <w:pPr>
              <w:adjustRightInd w:val="0"/>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报告期内变更用途的募集资金总额</w:t>
            </w:r>
          </w:p>
        </w:tc>
        <w:tc>
          <w:tcPr>
            <w:tcW w:w="890" w:type="pct"/>
            <w:gridSpan w:val="2"/>
            <w:vAlign w:val="center"/>
          </w:tcPr>
          <w:p>
            <w:pPr>
              <w:adjustRightInd w:val="0"/>
              <w:jc w:val="center"/>
              <w:rPr>
                <w:color w:val="000000"/>
                <w:sz w:val="18"/>
                <w:szCs w:val="18"/>
              </w:rPr>
            </w:pPr>
            <w:r>
              <w:rPr>
                <w:rFonts w:hint="eastAsia"/>
                <w:color w:val="000000"/>
                <w:sz w:val="18"/>
                <w:szCs w:val="18"/>
              </w:rPr>
              <w:t>19,858.37</w:t>
            </w:r>
          </w:p>
        </w:tc>
        <w:tc>
          <w:tcPr>
            <w:tcW w:w="951" w:type="pct"/>
            <w:gridSpan w:val="2"/>
            <w:vMerge w:val="restart"/>
            <w:vAlign w:val="center"/>
          </w:tcPr>
          <w:p>
            <w:pPr>
              <w:adjustRightInd w:val="0"/>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已累计投入募集资金总额</w:t>
            </w:r>
          </w:p>
        </w:tc>
        <w:tc>
          <w:tcPr>
            <w:tcW w:w="1730" w:type="pct"/>
            <w:gridSpan w:val="4"/>
            <w:vMerge w:val="restart"/>
            <w:vAlign w:val="center"/>
          </w:tcPr>
          <w:p>
            <w:pPr>
              <w:widowControl/>
              <w:jc w:val="center"/>
              <w:textAlignment w:val="center"/>
              <w:rPr>
                <w:rFonts w:hint="eastAsia" w:cs="宋体" w:asciiTheme="minorEastAsia" w:hAnsiTheme="minorEastAsia" w:eastAsiaTheme="minorEastAsia"/>
                <w:color w:val="000000"/>
                <w:sz w:val="20"/>
              </w:rPr>
            </w:pPr>
            <w:r>
              <w:rPr>
                <w:color w:val="000000"/>
                <w:sz w:val="18"/>
                <w:szCs w:val="18"/>
              </w:rPr>
              <w:t>22,184.84</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1429" w:type="pct"/>
            <w:gridSpan w:val="3"/>
            <w:vAlign w:val="center"/>
          </w:tcPr>
          <w:p>
            <w:pPr>
              <w:adjustRightInd w:val="0"/>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累计变更用途的募集资金总额</w:t>
            </w:r>
          </w:p>
        </w:tc>
        <w:tc>
          <w:tcPr>
            <w:tcW w:w="890" w:type="pct"/>
            <w:gridSpan w:val="2"/>
            <w:vAlign w:val="center"/>
          </w:tcPr>
          <w:p>
            <w:pPr>
              <w:adjustRightInd w:val="0"/>
              <w:jc w:val="center"/>
              <w:rPr>
                <w:rFonts w:hint="eastAsia" w:cs="宋体" w:asciiTheme="minorEastAsia" w:hAnsiTheme="minorEastAsia" w:eastAsiaTheme="minorEastAsia"/>
                <w:kern w:val="0"/>
                <w:sz w:val="18"/>
                <w:szCs w:val="18"/>
              </w:rPr>
            </w:pPr>
            <w:r>
              <w:rPr>
                <w:rFonts w:hint="eastAsia"/>
                <w:color w:val="000000"/>
                <w:sz w:val="18"/>
                <w:szCs w:val="18"/>
              </w:rPr>
              <w:t>19,858.37</w:t>
            </w:r>
          </w:p>
        </w:tc>
        <w:tc>
          <w:tcPr>
            <w:tcW w:w="951" w:type="pct"/>
            <w:gridSpan w:val="2"/>
            <w:vMerge w:val="continue"/>
            <w:vAlign w:val="center"/>
          </w:tcPr>
          <w:p>
            <w:pPr>
              <w:adjustRightInd w:val="0"/>
              <w:jc w:val="left"/>
              <w:rPr>
                <w:rFonts w:hint="eastAsia" w:cs="宋体" w:asciiTheme="minorEastAsia" w:hAnsiTheme="minorEastAsia" w:eastAsiaTheme="minorEastAsia"/>
                <w:kern w:val="0"/>
                <w:sz w:val="18"/>
                <w:szCs w:val="18"/>
              </w:rPr>
            </w:pPr>
          </w:p>
        </w:tc>
        <w:tc>
          <w:tcPr>
            <w:tcW w:w="1730" w:type="pct"/>
            <w:gridSpan w:val="4"/>
            <w:vMerge w:val="continue"/>
            <w:vAlign w:val="center"/>
          </w:tcPr>
          <w:p>
            <w:pPr>
              <w:adjustRightInd w:val="0"/>
              <w:jc w:val="left"/>
              <w:rPr>
                <w:rFonts w:hint="eastAsia" w:cs="宋体" w:asciiTheme="minorEastAsia" w:hAnsiTheme="minorEastAsia" w:eastAsiaTheme="minorEastAsia"/>
                <w:kern w:val="0"/>
                <w:sz w:val="18"/>
                <w:szCs w:val="18"/>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1429" w:type="pct"/>
            <w:gridSpan w:val="3"/>
            <w:vAlign w:val="center"/>
          </w:tcPr>
          <w:p>
            <w:pPr>
              <w:adjustRightInd w:val="0"/>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累计变更用途的募集资金总额比例</w:t>
            </w:r>
          </w:p>
        </w:tc>
        <w:tc>
          <w:tcPr>
            <w:tcW w:w="890" w:type="pct"/>
            <w:gridSpan w:val="2"/>
            <w:vAlign w:val="center"/>
          </w:tcPr>
          <w:p>
            <w:pPr>
              <w:adjustRightInd w:val="0"/>
              <w:jc w:val="center"/>
              <w:rPr>
                <w:rFonts w:hint="eastAsia" w:cs="宋体" w:asciiTheme="minorEastAsia" w:hAnsiTheme="minorEastAsia" w:eastAsiaTheme="minorEastAsia"/>
                <w:kern w:val="0"/>
                <w:sz w:val="18"/>
                <w:szCs w:val="18"/>
              </w:rPr>
            </w:pPr>
            <w:r>
              <w:rPr>
                <w:rFonts w:hint="eastAsia"/>
                <w:color w:val="000000"/>
                <w:sz w:val="18"/>
                <w:szCs w:val="18"/>
              </w:rPr>
              <w:t>52.34%</w:t>
            </w:r>
          </w:p>
        </w:tc>
        <w:tc>
          <w:tcPr>
            <w:tcW w:w="951" w:type="pct"/>
            <w:gridSpan w:val="2"/>
            <w:vMerge w:val="continue"/>
            <w:vAlign w:val="center"/>
          </w:tcPr>
          <w:p>
            <w:pPr>
              <w:adjustRightInd w:val="0"/>
              <w:jc w:val="left"/>
              <w:rPr>
                <w:rFonts w:hint="eastAsia" w:cs="宋体" w:asciiTheme="minorEastAsia" w:hAnsiTheme="minorEastAsia" w:eastAsiaTheme="minorEastAsia"/>
                <w:kern w:val="0"/>
                <w:sz w:val="18"/>
                <w:szCs w:val="18"/>
              </w:rPr>
            </w:pPr>
          </w:p>
        </w:tc>
        <w:tc>
          <w:tcPr>
            <w:tcW w:w="1730" w:type="pct"/>
            <w:gridSpan w:val="4"/>
            <w:vMerge w:val="continue"/>
            <w:vAlign w:val="center"/>
          </w:tcPr>
          <w:p>
            <w:pPr>
              <w:adjustRightInd w:val="0"/>
              <w:jc w:val="left"/>
              <w:rPr>
                <w:rFonts w:hint="eastAsia" w:cs="宋体" w:asciiTheme="minorEastAsia" w:hAnsiTheme="minorEastAsia" w:eastAsiaTheme="minorEastAsia"/>
                <w:kern w:val="0"/>
                <w:sz w:val="18"/>
                <w:szCs w:val="18"/>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532" w:type="pct"/>
            <w:vAlign w:val="center"/>
          </w:tcPr>
          <w:p>
            <w:pPr>
              <w:adjustRightInd w:val="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承诺投资项目</w:t>
            </w:r>
          </w:p>
          <w:p>
            <w:pPr>
              <w:adjustRightInd w:val="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和超募资金投向</w:t>
            </w:r>
          </w:p>
        </w:tc>
        <w:tc>
          <w:tcPr>
            <w:tcW w:w="418" w:type="pct"/>
            <w:vAlign w:val="center"/>
          </w:tcPr>
          <w:p>
            <w:pPr>
              <w:adjustRightInd w:val="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是否已变更项目（含部分变更）</w:t>
            </w:r>
          </w:p>
        </w:tc>
        <w:tc>
          <w:tcPr>
            <w:tcW w:w="479" w:type="pct"/>
            <w:vAlign w:val="center"/>
          </w:tcPr>
          <w:p>
            <w:pPr>
              <w:adjustRightInd w:val="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募集资金</w:t>
            </w:r>
          </w:p>
          <w:p>
            <w:pPr>
              <w:adjustRightInd w:val="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承诺投资总额</w:t>
            </w:r>
          </w:p>
        </w:tc>
        <w:tc>
          <w:tcPr>
            <w:tcW w:w="476" w:type="pct"/>
            <w:vAlign w:val="center"/>
          </w:tcPr>
          <w:p>
            <w:pPr>
              <w:adjustRightInd w:val="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调整后</w:t>
            </w:r>
          </w:p>
          <w:p>
            <w:pPr>
              <w:adjustRightInd w:val="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投资总额</w:t>
            </w:r>
          </w:p>
          <w:p>
            <w:pPr>
              <w:adjustRightInd w:val="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w:t>
            </w:r>
          </w:p>
        </w:tc>
        <w:tc>
          <w:tcPr>
            <w:tcW w:w="414" w:type="pct"/>
            <w:vAlign w:val="center"/>
          </w:tcPr>
          <w:p>
            <w:pPr>
              <w:adjustRightInd w:val="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本年度</w:t>
            </w:r>
          </w:p>
          <w:p>
            <w:pPr>
              <w:adjustRightInd w:val="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投入金额</w:t>
            </w:r>
          </w:p>
        </w:tc>
        <w:tc>
          <w:tcPr>
            <w:tcW w:w="475" w:type="pct"/>
            <w:vAlign w:val="center"/>
          </w:tcPr>
          <w:p>
            <w:pPr>
              <w:adjustRightInd w:val="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截至期末</w:t>
            </w:r>
          </w:p>
          <w:p>
            <w:pPr>
              <w:adjustRightInd w:val="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累计投入金额</w:t>
            </w:r>
          </w:p>
          <w:p>
            <w:pPr>
              <w:adjustRightInd w:val="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w:t>
            </w:r>
          </w:p>
        </w:tc>
        <w:tc>
          <w:tcPr>
            <w:tcW w:w="476" w:type="pct"/>
            <w:vAlign w:val="center"/>
          </w:tcPr>
          <w:p>
            <w:pPr>
              <w:adjustRightInd w:val="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截至期末</w:t>
            </w:r>
          </w:p>
          <w:p>
            <w:pPr>
              <w:adjustRightInd w:val="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投资进度（%）</w:t>
            </w:r>
          </w:p>
          <w:p>
            <w:pPr>
              <w:adjustRightInd w:val="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(3)＝(2)/(1)</w:t>
            </w:r>
          </w:p>
        </w:tc>
        <w:tc>
          <w:tcPr>
            <w:tcW w:w="607" w:type="pct"/>
            <w:vAlign w:val="center"/>
          </w:tcPr>
          <w:p>
            <w:pPr>
              <w:adjustRightInd w:val="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项目达到预定</w:t>
            </w:r>
          </w:p>
          <w:p>
            <w:pPr>
              <w:adjustRightInd w:val="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可使用状态日期</w:t>
            </w:r>
          </w:p>
        </w:tc>
        <w:tc>
          <w:tcPr>
            <w:tcW w:w="341" w:type="pct"/>
            <w:vAlign w:val="center"/>
          </w:tcPr>
          <w:p>
            <w:pPr>
              <w:adjustRightInd w:val="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本年度</w:t>
            </w:r>
          </w:p>
          <w:p>
            <w:pPr>
              <w:adjustRightInd w:val="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实现的效益</w:t>
            </w:r>
          </w:p>
        </w:tc>
        <w:tc>
          <w:tcPr>
            <w:tcW w:w="354" w:type="pct"/>
            <w:vAlign w:val="center"/>
          </w:tcPr>
          <w:p>
            <w:pPr>
              <w:adjustRightInd w:val="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是否达到预计效益</w:t>
            </w:r>
          </w:p>
        </w:tc>
        <w:tc>
          <w:tcPr>
            <w:tcW w:w="428" w:type="pct"/>
            <w:vAlign w:val="center"/>
          </w:tcPr>
          <w:p>
            <w:pPr>
              <w:adjustRightInd w:val="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项目可行性是否发生</w:t>
            </w:r>
          </w:p>
          <w:p>
            <w:pPr>
              <w:adjustRightInd w:val="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重大变化</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532" w:type="pct"/>
            <w:vAlign w:val="center"/>
          </w:tcPr>
          <w:p>
            <w:pPr>
              <w:adjustRightInd w:val="0"/>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承诺投资项目</w:t>
            </w:r>
          </w:p>
        </w:tc>
        <w:tc>
          <w:tcPr>
            <w:tcW w:w="4468" w:type="pct"/>
            <w:gridSpan w:val="10"/>
            <w:vAlign w:val="center"/>
          </w:tcPr>
          <w:p>
            <w:pPr>
              <w:adjustRightInd w:val="0"/>
              <w:jc w:val="right"/>
              <w:rPr>
                <w:rFonts w:hint="eastAsia" w:cs="宋体" w:asciiTheme="minorEastAsia" w:hAnsiTheme="minorEastAsia" w:eastAsiaTheme="minorEastAsia"/>
                <w:kern w:val="0"/>
                <w:sz w:val="18"/>
                <w:szCs w:val="18"/>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532" w:type="pct"/>
            <w:vAlign w:val="center"/>
          </w:tcPr>
          <w:p>
            <w:pPr>
              <w:adjustRightInd w:val="0"/>
              <w:spacing w:line="0" w:lineRule="atLeast"/>
              <w:jc w:val="left"/>
              <w:rPr>
                <w:rFonts w:hint="eastAsia" w:cs="宋体" w:asciiTheme="minorEastAsia" w:hAnsiTheme="minorEastAsia" w:eastAsiaTheme="minorEastAsia"/>
                <w:kern w:val="0"/>
                <w:sz w:val="18"/>
                <w:szCs w:val="18"/>
              </w:rPr>
            </w:pPr>
            <w:r>
              <w:rPr>
                <w:rFonts w:cs="宋体" w:asciiTheme="minorEastAsia" w:hAnsiTheme="minorEastAsia" w:eastAsiaTheme="minorEastAsia"/>
                <w:kern w:val="0"/>
                <w:sz w:val="18"/>
                <w:szCs w:val="18"/>
              </w:rPr>
              <w:t>智能计量表具终端未来工厂建设项目</w:t>
            </w:r>
          </w:p>
        </w:tc>
        <w:tc>
          <w:tcPr>
            <w:tcW w:w="418" w:type="pct"/>
            <w:vAlign w:val="center"/>
          </w:tcPr>
          <w:p>
            <w:pPr>
              <w:adjustRightInd w:val="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是</w:t>
            </w:r>
          </w:p>
        </w:tc>
        <w:tc>
          <w:tcPr>
            <w:tcW w:w="479" w:type="pct"/>
            <w:vAlign w:val="center"/>
          </w:tcPr>
          <w:p>
            <w:pPr>
              <w:widowControl/>
              <w:jc w:val="center"/>
              <w:rPr>
                <w:color w:val="000000"/>
                <w:sz w:val="18"/>
                <w:szCs w:val="18"/>
              </w:rPr>
            </w:pPr>
            <w:r>
              <w:rPr>
                <w:rFonts w:hint="eastAsia"/>
                <w:color w:val="000000"/>
                <w:sz w:val="18"/>
                <w:szCs w:val="18"/>
              </w:rPr>
              <w:t>19,487.29</w:t>
            </w:r>
          </w:p>
        </w:tc>
        <w:tc>
          <w:tcPr>
            <w:tcW w:w="476" w:type="pct"/>
            <w:vAlign w:val="center"/>
          </w:tcPr>
          <w:p>
            <w:pPr>
              <w:widowControl/>
              <w:wordWrap w:val="0"/>
              <w:jc w:val="center"/>
              <w:rPr>
                <w:color w:val="000000"/>
                <w:sz w:val="18"/>
                <w:szCs w:val="18"/>
                <w:highlight w:val="yellow"/>
              </w:rPr>
            </w:pPr>
            <w:r>
              <w:rPr>
                <w:color w:val="000000"/>
                <w:sz w:val="18"/>
                <w:szCs w:val="18"/>
              </w:rPr>
              <w:t>6</w:t>
            </w:r>
            <w:r>
              <w:rPr>
                <w:rFonts w:hint="eastAsia"/>
                <w:color w:val="000000"/>
                <w:sz w:val="18"/>
                <w:szCs w:val="18"/>
              </w:rPr>
              <w:t>,</w:t>
            </w:r>
            <w:r>
              <w:rPr>
                <w:color w:val="000000"/>
                <w:sz w:val="18"/>
                <w:szCs w:val="18"/>
              </w:rPr>
              <w:t>157.36</w:t>
            </w:r>
          </w:p>
        </w:tc>
        <w:tc>
          <w:tcPr>
            <w:tcW w:w="414" w:type="pct"/>
            <w:vAlign w:val="center"/>
          </w:tcPr>
          <w:p>
            <w:pPr>
              <w:widowControl/>
              <w:jc w:val="center"/>
              <w:textAlignment w:val="center"/>
              <w:rPr>
                <w:color w:val="000000"/>
                <w:sz w:val="18"/>
                <w:szCs w:val="18"/>
              </w:rPr>
            </w:pPr>
            <w:r>
              <w:rPr>
                <w:rFonts w:hint="eastAsia"/>
                <w:color w:val="000000"/>
                <w:sz w:val="18"/>
                <w:szCs w:val="18"/>
              </w:rPr>
              <w:t>701.11</w:t>
            </w:r>
          </w:p>
        </w:tc>
        <w:tc>
          <w:tcPr>
            <w:tcW w:w="475" w:type="pct"/>
            <w:vAlign w:val="center"/>
          </w:tcPr>
          <w:p>
            <w:pPr>
              <w:widowControl/>
              <w:jc w:val="center"/>
              <w:textAlignment w:val="center"/>
              <w:rPr>
                <w:color w:val="000000"/>
                <w:sz w:val="18"/>
                <w:szCs w:val="18"/>
              </w:rPr>
            </w:pPr>
            <w:r>
              <w:rPr>
                <w:rFonts w:hint="eastAsia"/>
                <w:color w:val="000000"/>
                <w:sz w:val="18"/>
                <w:szCs w:val="18"/>
              </w:rPr>
              <w:t>6,157.36</w:t>
            </w:r>
          </w:p>
        </w:tc>
        <w:tc>
          <w:tcPr>
            <w:tcW w:w="476" w:type="pct"/>
            <w:vAlign w:val="center"/>
          </w:tcPr>
          <w:p>
            <w:pPr>
              <w:widowControl/>
              <w:jc w:val="center"/>
              <w:textAlignment w:val="center"/>
              <w:rPr>
                <w:color w:val="000000"/>
                <w:sz w:val="18"/>
                <w:szCs w:val="18"/>
              </w:rPr>
            </w:pPr>
            <w:r>
              <w:rPr>
                <w:rFonts w:hint="eastAsia"/>
                <w:color w:val="000000"/>
                <w:sz w:val="18"/>
                <w:szCs w:val="18"/>
              </w:rPr>
              <w:t>100.00</w:t>
            </w:r>
          </w:p>
        </w:tc>
        <w:tc>
          <w:tcPr>
            <w:tcW w:w="607" w:type="pct"/>
            <w:vAlign w:val="center"/>
          </w:tcPr>
          <w:p>
            <w:pPr>
              <w:widowControl/>
              <w:jc w:val="center"/>
              <w:rPr>
                <w:color w:val="000000"/>
                <w:sz w:val="18"/>
                <w:szCs w:val="18"/>
              </w:rPr>
            </w:pPr>
            <w:r>
              <w:rPr>
                <w:rFonts w:cs="宋体" w:asciiTheme="minorEastAsia" w:hAnsiTheme="minorEastAsia" w:eastAsiaTheme="minorEastAsia"/>
                <w:kern w:val="0"/>
                <w:sz w:val="18"/>
                <w:szCs w:val="18"/>
              </w:rPr>
              <w:t>不适用</w:t>
            </w:r>
          </w:p>
        </w:tc>
        <w:tc>
          <w:tcPr>
            <w:tcW w:w="341" w:type="pct"/>
            <w:vAlign w:val="center"/>
          </w:tcPr>
          <w:p>
            <w:pPr>
              <w:adjustRightInd w:val="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不适用</w:t>
            </w:r>
          </w:p>
        </w:tc>
        <w:tc>
          <w:tcPr>
            <w:tcW w:w="354" w:type="pct"/>
            <w:vAlign w:val="center"/>
          </w:tcPr>
          <w:p>
            <w:pPr>
              <w:adjustRightInd w:val="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不适用</w:t>
            </w:r>
          </w:p>
        </w:tc>
        <w:tc>
          <w:tcPr>
            <w:tcW w:w="428" w:type="pct"/>
            <w:vAlign w:val="center"/>
          </w:tcPr>
          <w:p>
            <w:pPr>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否</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532" w:type="pct"/>
            <w:vAlign w:val="center"/>
          </w:tcPr>
          <w:p>
            <w:pPr>
              <w:adjustRightInd w:val="0"/>
              <w:spacing w:line="0" w:lineRule="atLeast"/>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智慧城市先进计量产业研发中心建设项目</w:t>
            </w:r>
          </w:p>
        </w:tc>
        <w:tc>
          <w:tcPr>
            <w:tcW w:w="418" w:type="pct"/>
            <w:vAlign w:val="center"/>
          </w:tcPr>
          <w:p>
            <w:pPr>
              <w:adjustRightInd w:val="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是</w:t>
            </w:r>
          </w:p>
        </w:tc>
        <w:tc>
          <w:tcPr>
            <w:tcW w:w="479" w:type="pct"/>
            <w:vAlign w:val="center"/>
          </w:tcPr>
          <w:p>
            <w:pPr>
              <w:widowControl/>
              <w:jc w:val="center"/>
              <w:rPr>
                <w:color w:val="000000"/>
                <w:sz w:val="18"/>
                <w:szCs w:val="18"/>
              </w:rPr>
            </w:pPr>
            <w:r>
              <w:rPr>
                <w:rFonts w:hint="eastAsia"/>
                <w:color w:val="000000"/>
                <w:sz w:val="18"/>
                <w:szCs w:val="18"/>
              </w:rPr>
              <w:t>7,069.55</w:t>
            </w:r>
          </w:p>
        </w:tc>
        <w:tc>
          <w:tcPr>
            <w:tcW w:w="476" w:type="pct"/>
            <w:vAlign w:val="center"/>
          </w:tcPr>
          <w:p>
            <w:pPr>
              <w:widowControl/>
              <w:wordWrap w:val="0"/>
              <w:jc w:val="center"/>
              <w:rPr>
                <w:color w:val="000000"/>
                <w:sz w:val="18"/>
                <w:szCs w:val="18"/>
                <w:highlight w:val="yellow"/>
              </w:rPr>
            </w:pPr>
            <w:r>
              <w:rPr>
                <w:color w:val="000000"/>
                <w:sz w:val="18"/>
                <w:szCs w:val="18"/>
              </w:rPr>
              <w:t>1,731.52</w:t>
            </w:r>
          </w:p>
        </w:tc>
        <w:tc>
          <w:tcPr>
            <w:tcW w:w="414" w:type="pct"/>
            <w:vAlign w:val="center"/>
          </w:tcPr>
          <w:p>
            <w:pPr>
              <w:widowControl/>
              <w:jc w:val="center"/>
              <w:textAlignment w:val="center"/>
              <w:rPr>
                <w:color w:val="000000"/>
                <w:sz w:val="18"/>
                <w:szCs w:val="18"/>
              </w:rPr>
            </w:pPr>
            <w:r>
              <w:rPr>
                <w:rFonts w:hint="eastAsia"/>
                <w:color w:val="000000"/>
                <w:sz w:val="18"/>
                <w:szCs w:val="18"/>
              </w:rPr>
              <w:t>95.77</w:t>
            </w:r>
          </w:p>
        </w:tc>
        <w:tc>
          <w:tcPr>
            <w:tcW w:w="475" w:type="pct"/>
            <w:vAlign w:val="center"/>
          </w:tcPr>
          <w:p>
            <w:pPr>
              <w:widowControl/>
              <w:jc w:val="center"/>
              <w:textAlignment w:val="center"/>
              <w:rPr>
                <w:color w:val="000000"/>
                <w:sz w:val="18"/>
                <w:szCs w:val="18"/>
              </w:rPr>
            </w:pPr>
            <w:r>
              <w:rPr>
                <w:rFonts w:hint="eastAsia"/>
                <w:color w:val="000000"/>
                <w:sz w:val="18"/>
                <w:szCs w:val="18"/>
              </w:rPr>
              <w:t>1,731.52</w:t>
            </w:r>
          </w:p>
        </w:tc>
        <w:tc>
          <w:tcPr>
            <w:tcW w:w="476" w:type="pct"/>
            <w:vAlign w:val="center"/>
          </w:tcPr>
          <w:p>
            <w:pPr>
              <w:widowControl/>
              <w:jc w:val="center"/>
              <w:textAlignment w:val="center"/>
              <w:rPr>
                <w:color w:val="000000"/>
                <w:sz w:val="18"/>
                <w:szCs w:val="18"/>
              </w:rPr>
            </w:pPr>
            <w:r>
              <w:rPr>
                <w:rFonts w:hint="eastAsia"/>
                <w:color w:val="000000"/>
                <w:sz w:val="18"/>
                <w:szCs w:val="18"/>
              </w:rPr>
              <w:t>100.00</w:t>
            </w:r>
          </w:p>
        </w:tc>
        <w:tc>
          <w:tcPr>
            <w:tcW w:w="607" w:type="pct"/>
            <w:vAlign w:val="center"/>
          </w:tcPr>
          <w:p>
            <w:pPr>
              <w:widowControl/>
              <w:jc w:val="center"/>
              <w:rPr>
                <w:color w:val="000000"/>
                <w:sz w:val="18"/>
                <w:szCs w:val="18"/>
              </w:rPr>
            </w:pPr>
            <w:r>
              <w:rPr>
                <w:rFonts w:cs="宋体" w:asciiTheme="minorEastAsia" w:hAnsiTheme="minorEastAsia" w:eastAsiaTheme="minorEastAsia"/>
                <w:kern w:val="0"/>
                <w:sz w:val="18"/>
                <w:szCs w:val="18"/>
              </w:rPr>
              <w:t>不适用</w:t>
            </w:r>
          </w:p>
        </w:tc>
        <w:tc>
          <w:tcPr>
            <w:tcW w:w="341" w:type="pct"/>
            <w:vAlign w:val="center"/>
          </w:tcPr>
          <w:p>
            <w:pPr>
              <w:adjustRightInd w:val="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不适用</w:t>
            </w:r>
          </w:p>
        </w:tc>
        <w:tc>
          <w:tcPr>
            <w:tcW w:w="354" w:type="pct"/>
            <w:vAlign w:val="center"/>
          </w:tcPr>
          <w:p>
            <w:pPr>
              <w:adjustRightInd w:val="0"/>
              <w:jc w:val="center"/>
              <w:rPr>
                <w:rFonts w:hint="eastAsia" w:cs="宋体" w:asciiTheme="minorEastAsia" w:hAnsiTheme="minorEastAsia" w:eastAsiaTheme="minorEastAsia"/>
                <w:b/>
                <w:kern w:val="0"/>
                <w:sz w:val="18"/>
                <w:szCs w:val="18"/>
              </w:rPr>
            </w:pPr>
            <w:r>
              <w:rPr>
                <w:rFonts w:hint="eastAsia" w:cs="宋体" w:asciiTheme="minorEastAsia" w:hAnsiTheme="minorEastAsia" w:eastAsiaTheme="minorEastAsia"/>
                <w:kern w:val="0"/>
                <w:sz w:val="18"/>
                <w:szCs w:val="18"/>
              </w:rPr>
              <w:t>不适用</w:t>
            </w:r>
          </w:p>
        </w:tc>
        <w:tc>
          <w:tcPr>
            <w:tcW w:w="428" w:type="pct"/>
            <w:vAlign w:val="center"/>
          </w:tcPr>
          <w:p>
            <w:pPr>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否</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532" w:type="pct"/>
            <w:vAlign w:val="center"/>
          </w:tcPr>
          <w:p>
            <w:pPr>
              <w:adjustRightInd w:val="0"/>
              <w:spacing w:line="0" w:lineRule="atLeast"/>
              <w:jc w:val="left"/>
              <w:rPr>
                <w:rFonts w:hint="eastAsia" w:cs="宋体" w:asciiTheme="minorEastAsia" w:hAnsiTheme="minorEastAsia" w:eastAsiaTheme="minorEastAsia"/>
                <w:kern w:val="0"/>
                <w:sz w:val="18"/>
                <w:szCs w:val="18"/>
              </w:rPr>
            </w:pPr>
            <w:r>
              <w:rPr>
                <w:rFonts w:cs="宋体" w:asciiTheme="minorEastAsia" w:hAnsiTheme="minorEastAsia" w:eastAsiaTheme="minorEastAsia"/>
                <w:kern w:val="0"/>
                <w:sz w:val="18"/>
                <w:szCs w:val="18"/>
              </w:rPr>
              <w:t>新一代智慧能源终端智能制造基地建设项目</w:t>
            </w:r>
          </w:p>
        </w:tc>
        <w:tc>
          <w:tcPr>
            <w:tcW w:w="418" w:type="pct"/>
            <w:vAlign w:val="center"/>
          </w:tcPr>
          <w:p>
            <w:pPr>
              <w:adjustRightInd w:val="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否</w:t>
            </w:r>
          </w:p>
        </w:tc>
        <w:tc>
          <w:tcPr>
            <w:tcW w:w="479" w:type="pct"/>
            <w:vAlign w:val="center"/>
          </w:tcPr>
          <w:p>
            <w:pPr>
              <w:widowControl/>
              <w:jc w:val="center"/>
              <w:rPr>
                <w:color w:val="000000"/>
                <w:sz w:val="18"/>
                <w:szCs w:val="18"/>
              </w:rPr>
            </w:pPr>
            <w:r>
              <w:rPr>
                <w:rFonts w:hint="eastAsia"/>
                <w:color w:val="000000"/>
                <w:sz w:val="18"/>
                <w:szCs w:val="18"/>
              </w:rPr>
              <w:t>-</w:t>
            </w:r>
          </w:p>
        </w:tc>
        <w:tc>
          <w:tcPr>
            <w:tcW w:w="476" w:type="pct"/>
            <w:vAlign w:val="center"/>
          </w:tcPr>
          <w:p>
            <w:pPr>
              <w:widowControl/>
              <w:jc w:val="center"/>
              <w:rPr>
                <w:color w:val="000000"/>
                <w:sz w:val="18"/>
                <w:szCs w:val="18"/>
              </w:rPr>
            </w:pPr>
            <w:bookmarkStart w:id="1" w:name="OLE_LINK3"/>
            <w:r>
              <w:rPr>
                <w:rFonts w:hint="eastAsia"/>
                <w:color w:val="000000"/>
                <w:sz w:val="18"/>
                <w:szCs w:val="18"/>
              </w:rPr>
              <w:t>19,858.37</w:t>
            </w:r>
            <w:bookmarkEnd w:id="1"/>
          </w:p>
        </w:tc>
        <w:tc>
          <w:tcPr>
            <w:tcW w:w="414" w:type="pct"/>
            <w:vAlign w:val="center"/>
          </w:tcPr>
          <w:p>
            <w:pPr>
              <w:widowControl/>
              <w:jc w:val="center"/>
              <w:textAlignment w:val="center"/>
              <w:rPr>
                <w:color w:val="000000"/>
                <w:sz w:val="18"/>
                <w:szCs w:val="18"/>
              </w:rPr>
            </w:pPr>
            <w:r>
              <w:rPr>
                <w:color w:val="000000"/>
                <w:sz w:val="18"/>
                <w:szCs w:val="18"/>
              </w:rPr>
              <w:t>3,632.00</w:t>
            </w:r>
          </w:p>
        </w:tc>
        <w:tc>
          <w:tcPr>
            <w:tcW w:w="475" w:type="pct"/>
            <w:vAlign w:val="center"/>
          </w:tcPr>
          <w:p>
            <w:pPr>
              <w:widowControl/>
              <w:jc w:val="center"/>
              <w:rPr>
                <w:color w:val="000000"/>
                <w:sz w:val="18"/>
                <w:szCs w:val="18"/>
              </w:rPr>
            </w:pPr>
            <w:r>
              <w:rPr>
                <w:color w:val="000000"/>
                <w:sz w:val="18"/>
                <w:szCs w:val="18"/>
              </w:rPr>
              <w:t>3,632.00</w:t>
            </w:r>
          </w:p>
        </w:tc>
        <w:tc>
          <w:tcPr>
            <w:tcW w:w="476" w:type="pct"/>
            <w:vAlign w:val="center"/>
          </w:tcPr>
          <w:p>
            <w:pPr>
              <w:widowControl/>
              <w:jc w:val="center"/>
              <w:textAlignment w:val="center"/>
              <w:rPr>
                <w:color w:val="000000"/>
                <w:sz w:val="18"/>
                <w:szCs w:val="18"/>
              </w:rPr>
            </w:pPr>
            <w:r>
              <w:rPr>
                <w:rFonts w:hint="eastAsia"/>
                <w:color w:val="000000"/>
                <w:sz w:val="18"/>
                <w:szCs w:val="18"/>
              </w:rPr>
              <w:t>1</w:t>
            </w:r>
            <w:r>
              <w:rPr>
                <w:color w:val="000000"/>
                <w:sz w:val="18"/>
                <w:szCs w:val="18"/>
              </w:rPr>
              <w:t>8.29</w:t>
            </w:r>
          </w:p>
        </w:tc>
        <w:tc>
          <w:tcPr>
            <w:tcW w:w="607" w:type="pct"/>
            <w:vAlign w:val="center"/>
          </w:tcPr>
          <w:p>
            <w:pPr>
              <w:widowControl/>
              <w:jc w:val="center"/>
              <w:rPr>
                <w:color w:val="000000"/>
                <w:sz w:val="18"/>
                <w:szCs w:val="18"/>
              </w:rPr>
            </w:pPr>
            <w:r>
              <w:rPr>
                <w:rFonts w:cs="宋体" w:asciiTheme="minorEastAsia" w:hAnsiTheme="minorEastAsia" w:eastAsiaTheme="minorEastAsia"/>
                <w:kern w:val="0"/>
                <w:sz w:val="18"/>
                <w:szCs w:val="18"/>
              </w:rPr>
              <w:t>2029年</w:t>
            </w:r>
            <w:r>
              <w:rPr>
                <w:rFonts w:hint="eastAsia" w:cs="宋体" w:asciiTheme="minorEastAsia" w:hAnsiTheme="minorEastAsia" w:eastAsiaTheme="minorEastAsia"/>
                <w:kern w:val="0"/>
                <w:sz w:val="18"/>
                <w:szCs w:val="18"/>
              </w:rPr>
              <w:t>6月1</w:t>
            </w:r>
            <w:r>
              <w:rPr>
                <w:rFonts w:cs="宋体" w:asciiTheme="minorEastAsia" w:hAnsiTheme="minorEastAsia" w:eastAsiaTheme="minorEastAsia"/>
                <w:kern w:val="0"/>
                <w:sz w:val="18"/>
                <w:szCs w:val="18"/>
              </w:rPr>
              <w:t>0日[注1]</w:t>
            </w:r>
          </w:p>
        </w:tc>
        <w:tc>
          <w:tcPr>
            <w:tcW w:w="341" w:type="pct"/>
            <w:vAlign w:val="center"/>
          </w:tcPr>
          <w:p>
            <w:pPr>
              <w:adjustRightInd w:val="0"/>
              <w:jc w:val="center"/>
              <w:rPr>
                <w:rFonts w:hint="eastAsia" w:cs="宋体" w:asciiTheme="minorEastAsia" w:hAnsiTheme="minorEastAsia" w:eastAsiaTheme="minorEastAsia"/>
                <w:kern w:val="0"/>
                <w:sz w:val="18"/>
                <w:szCs w:val="18"/>
              </w:rPr>
            </w:pPr>
            <w:r>
              <w:rPr>
                <w:rFonts w:cs="宋体" w:asciiTheme="minorEastAsia" w:hAnsiTheme="minorEastAsia" w:eastAsiaTheme="minorEastAsia"/>
                <w:kern w:val="0"/>
                <w:sz w:val="18"/>
                <w:szCs w:val="18"/>
              </w:rPr>
              <w:t>[注</w:t>
            </w: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w:t>
            </w:r>
          </w:p>
        </w:tc>
        <w:tc>
          <w:tcPr>
            <w:tcW w:w="354" w:type="pct"/>
            <w:vAlign w:val="center"/>
          </w:tcPr>
          <w:p>
            <w:pPr>
              <w:adjustRightInd w:val="0"/>
              <w:jc w:val="center"/>
              <w:rPr>
                <w:rFonts w:hint="eastAsia" w:cs="宋体" w:asciiTheme="minorEastAsia" w:hAnsiTheme="minorEastAsia" w:eastAsiaTheme="minorEastAsia"/>
                <w:kern w:val="0"/>
                <w:sz w:val="18"/>
                <w:szCs w:val="18"/>
              </w:rPr>
            </w:pPr>
            <w:r>
              <w:rPr>
                <w:rFonts w:cs="宋体" w:asciiTheme="minorEastAsia" w:hAnsiTheme="minorEastAsia" w:eastAsiaTheme="minorEastAsia"/>
                <w:kern w:val="0"/>
                <w:sz w:val="18"/>
                <w:szCs w:val="18"/>
              </w:rPr>
              <w:t>[注</w:t>
            </w: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w:t>
            </w:r>
          </w:p>
        </w:tc>
        <w:tc>
          <w:tcPr>
            <w:tcW w:w="428" w:type="pct"/>
            <w:vAlign w:val="center"/>
          </w:tcPr>
          <w:p>
            <w:pPr>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否</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532" w:type="pct"/>
            <w:vAlign w:val="center"/>
          </w:tcPr>
          <w:p>
            <w:pPr>
              <w:adjustRightInd w:val="0"/>
              <w:spacing w:line="0" w:lineRule="atLeast"/>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补充流动资金</w:t>
            </w:r>
          </w:p>
        </w:tc>
        <w:tc>
          <w:tcPr>
            <w:tcW w:w="418" w:type="pct"/>
            <w:vAlign w:val="center"/>
          </w:tcPr>
          <w:p>
            <w:pPr>
              <w:adjustRightInd w:val="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否</w:t>
            </w:r>
          </w:p>
        </w:tc>
        <w:tc>
          <w:tcPr>
            <w:tcW w:w="479" w:type="pct"/>
            <w:vAlign w:val="center"/>
          </w:tcPr>
          <w:p>
            <w:pPr>
              <w:widowControl/>
              <w:jc w:val="center"/>
              <w:rPr>
                <w:color w:val="000000"/>
                <w:sz w:val="18"/>
                <w:szCs w:val="18"/>
              </w:rPr>
            </w:pPr>
            <w:r>
              <w:rPr>
                <w:rFonts w:hint="eastAsia"/>
                <w:color w:val="000000"/>
                <w:sz w:val="18"/>
                <w:szCs w:val="18"/>
              </w:rPr>
              <w:t>11,381.50</w:t>
            </w:r>
          </w:p>
        </w:tc>
        <w:tc>
          <w:tcPr>
            <w:tcW w:w="476" w:type="pct"/>
            <w:vAlign w:val="center"/>
          </w:tcPr>
          <w:p>
            <w:pPr>
              <w:widowControl/>
              <w:jc w:val="center"/>
              <w:rPr>
                <w:color w:val="000000"/>
                <w:sz w:val="18"/>
                <w:szCs w:val="18"/>
              </w:rPr>
            </w:pPr>
            <w:r>
              <w:rPr>
                <w:rFonts w:hint="eastAsia"/>
                <w:color w:val="000000"/>
                <w:sz w:val="18"/>
                <w:szCs w:val="18"/>
              </w:rPr>
              <w:t>10,662.13</w:t>
            </w:r>
          </w:p>
        </w:tc>
        <w:tc>
          <w:tcPr>
            <w:tcW w:w="414" w:type="pct"/>
            <w:vAlign w:val="center"/>
          </w:tcPr>
          <w:p>
            <w:pPr>
              <w:widowControl/>
              <w:jc w:val="center"/>
              <w:textAlignment w:val="center"/>
              <w:rPr>
                <w:color w:val="000000"/>
                <w:sz w:val="18"/>
                <w:szCs w:val="18"/>
              </w:rPr>
            </w:pPr>
            <w:r>
              <w:rPr>
                <w:rFonts w:hint="eastAsia"/>
                <w:color w:val="000000"/>
                <w:sz w:val="18"/>
                <w:szCs w:val="18"/>
              </w:rPr>
              <w:t>-</w:t>
            </w:r>
          </w:p>
        </w:tc>
        <w:tc>
          <w:tcPr>
            <w:tcW w:w="475" w:type="pct"/>
            <w:vAlign w:val="center"/>
          </w:tcPr>
          <w:p>
            <w:pPr>
              <w:widowControl/>
              <w:jc w:val="center"/>
              <w:textAlignment w:val="center"/>
              <w:rPr>
                <w:color w:val="000000"/>
                <w:sz w:val="18"/>
                <w:szCs w:val="18"/>
              </w:rPr>
            </w:pPr>
            <w:r>
              <w:rPr>
                <w:rFonts w:hint="eastAsia"/>
                <w:color w:val="000000"/>
                <w:sz w:val="18"/>
                <w:szCs w:val="18"/>
              </w:rPr>
              <w:t>10,663.96</w:t>
            </w:r>
          </w:p>
        </w:tc>
        <w:tc>
          <w:tcPr>
            <w:tcW w:w="476" w:type="pct"/>
            <w:vAlign w:val="center"/>
          </w:tcPr>
          <w:p>
            <w:pPr>
              <w:widowControl/>
              <w:jc w:val="center"/>
              <w:textAlignment w:val="center"/>
              <w:rPr>
                <w:color w:val="000000"/>
                <w:sz w:val="18"/>
                <w:szCs w:val="18"/>
              </w:rPr>
            </w:pPr>
            <w:r>
              <w:rPr>
                <w:rFonts w:hint="eastAsia"/>
                <w:color w:val="000000"/>
                <w:sz w:val="18"/>
                <w:szCs w:val="18"/>
              </w:rPr>
              <w:t>100.02</w:t>
            </w:r>
            <w:r>
              <w:rPr>
                <w:color w:val="000000"/>
                <w:sz w:val="18"/>
                <w:szCs w:val="18"/>
              </w:rPr>
              <w:t>[注</w:t>
            </w:r>
            <w:r>
              <w:rPr>
                <w:rFonts w:hint="eastAsia"/>
                <w:color w:val="000000"/>
                <w:sz w:val="18"/>
                <w:szCs w:val="18"/>
              </w:rPr>
              <w:t>3]</w:t>
            </w:r>
          </w:p>
        </w:tc>
        <w:tc>
          <w:tcPr>
            <w:tcW w:w="607" w:type="pct"/>
            <w:vAlign w:val="center"/>
          </w:tcPr>
          <w:p>
            <w:pPr>
              <w:widowControl/>
              <w:jc w:val="center"/>
              <w:rPr>
                <w:color w:val="000000"/>
                <w:sz w:val="18"/>
                <w:szCs w:val="18"/>
              </w:rPr>
            </w:pPr>
          </w:p>
        </w:tc>
        <w:tc>
          <w:tcPr>
            <w:tcW w:w="341" w:type="pct"/>
            <w:vAlign w:val="center"/>
          </w:tcPr>
          <w:p>
            <w:pPr>
              <w:adjustRightInd w:val="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不适用</w:t>
            </w:r>
          </w:p>
        </w:tc>
        <w:tc>
          <w:tcPr>
            <w:tcW w:w="354" w:type="pct"/>
            <w:vAlign w:val="center"/>
          </w:tcPr>
          <w:p>
            <w:pPr>
              <w:adjustRightInd w:val="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不适用</w:t>
            </w:r>
          </w:p>
        </w:tc>
        <w:tc>
          <w:tcPr>
            <w:tcW w:w="428" w:type="pct"/>
            <w:vAlign w:val="center"/>
          </w:tcPr>
          <w:p>
            <w:pPr>
              <w:adjustRightInd w:val="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否</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532" w:type="pct"/>
            <w:vAlign w:val="center"/>
          </w:tcPr>
          <w:p>
            <w:pPr>
              <w:adjustRightInd w:val="0"/>
              <w:spacing w:line="0" w:lineRule="atLeast"/>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承诺投资项目</w:t>
            </w:r>
          </w:p>
          <w:p>
            <w:pPr>
              <w:adjustRightInd w:val="0"/>
              <w:spacing w:line="0" w:lineRule="atLeast"/>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小计</w:t>
            </w:r>
          </w:p>
        </w:tc>
        <w:tc>
          <w:tcPr>
            <w:tcW w:w="418" w:type="pct"/>
            <w:vAlign w:val="center"/>
          </w:tcPr>
          <w:p>
            <w:pPr>
              <w:adjustRightInd w:val="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w:t>
            </w:r>
          </w:p>
        </w:tc>
        <w:tc>
          <w:tcPr>
            <w:tcW w:w="479" w:type="pct"/>
            <w:vAlign w:val="center"/>
          </w:tcPr>
          <w:p>
            <w:pPr>
              <w:widowControl/>
              <w:jc w:val="center"/>
              <w:rPr>
                <w:color w:val="000000"/>
                <w:sz w:val="18"/>
                <w:szCs w:val="18"/>
              </w:rPr>
            </w:pPr>
            <w:r>
              <w:rPr>
                <w:color w:val="000000"/>
                <w:sz w:val="18"/>
                <w:szCs w:val="18"/>
              </w:rPr>
              <w:t>37,938.34</w:t>
            </w:r>
          </w:p>
        </w:tc>
        <w:tc>
          <w:tcPr>
            <w:tcW w:w="476" w:type="pct"/>
            <w:vAlign w:val="center"/>
          </w:tcPr>
          <w:p>
            <w:pPr>
              <w:widowControl/>
              <w:ind w:right="180"/>
              <w:jc w:val="center"/>
              <w:rPr>
                <w:color w:val="000000"/>
                <w:sz w:val="18"/>
                <w:szCs w:val="18"/>
              </w:rPr>
            </w:pPr>
            <w:r>
              <w:rPr>
                <w:color w:val="000000"/>
                <w:sz w:val="18"/>
                <w:szCs w:val="18"/>
              </w:rPr>
              <w:t xml:space="preserve">  38,409.38</w:t>
            </w:r>
          </w:p>
        </w:tc>
        <w:tc>
          <w:tcPr>
            <w:tcW w:w="414" w:type="pct"/>
            <w:vAlign w:val="center"/>
          </w:tcPr>
          <w:p>
            <w:pPr>
              <w:widowControl/>
              <w:jc w:val="center"/>
              <w:textAlignment w:val="center"/>
              <w:rPr>
                <w:color w:val="000000"/>
                <w:sz w:val="18"/>
                <w:szCs w:val="18"/>
              </w:rPr>
            </w:pPr>
            <w:r>
              <w:rPr>
                <w:color w:val="000000"/>
                <w:sz w:val="18"/>
                <w:szCs w:val="18"/>
              </w:rPr>
              <w:t>4,428.88</w:t>
            </w:r>
          </w:p>
        </w:tc>
        <w:tc>
          <w:tcPr>
            <w:tcW w:w="475" w:type="pct"/>
            <w:vAlign w:val="center"/>
          </w:tcPr>
          <w:p>
            <w:pPr>
              <w:widowControl/>
              <w:jc w:val="center"/>
              <w:textAlignment w:val="center"/>
              <w:rPr>
                <w:color w:val="000000"/>
                <w:sz w:val="18"/>
                <w:szCs w:val="18"/>
              </w:rPr>
            </w:pPr>
            <w:r>
              <w:rPr>
                <w:color w:val="000000"/>
                <w:sz w:val="18"/>
                <w:szCs w:val="18"/>
              </w:rPr>
              <w:t>22,184.84</w:t>
            </w:r>
          </w:p>
        </w:tc>
        <w:tc>
          <w:tcPr>
            <w:tcW w:w="476" w:type="pct"/>
            <w:vAlign w:val="center"/>
          </w:tcPr>
          <w:p>
            <w:pPr>
              <w:widowControl/>
              <w:jc w:val="center"/>
              <w:textAlignment w:val="center"/>
              <w:rPr>
                <w:color w:val="000000"/>
                <w:sz w:val="18"/>
                <w:szCs w:val="18"/>
              </w:rPr>
            </w:pPr>
          </w:p>
        </w:tc>
        <w:tc>
          <w:tcPr>
            <w:tcW w:w="607" w:type="pct"/>
            <w:vAlign w:val="center"/>
          </w:tcPr>
          <w:p>
            <w:pPr>
              <w:widowControl/>
              <w:jc w:val="center"/>
              <w:rPr>
                <w:color w:val="000000"/>
                <w:sz w:val="18"/>
                <w:szCs w:val="18"/>
              </w:rPr>
            </w:pPr>
          </w:p>
        </w:tc>
        <w:tc>
          <w:tcPr>
            <w:tcW w:w="341" w:type="pct"/>
            <w:vAlign w:val="center"/>
          </w:tcPr>
          <w:p>
            <w:pPr>
              <w:adjustRightInd w:val="0"/>
              <w:jc w:val="center"/>
              <w:rPr>
                <w:rFonts w:hint="eastAsia" w:cs="宋体" w:asciiTheme="minorEastAsia" w:hAnsiTheme="minorEastAsia" w:eastAsiaTheme="minorEastAsia"/>
                <w:kern w:val="0"/>
                <w:sz w:val="18"/>
                <w:szCs w:val="18"/>
              </w:rPr>
            </w:pPr>
          </w:p>
        </w:tc>
        <w:tc>
          <w:tcPr>
            <w:tcW w:w="354" w:type="pct"/>
            <w:vAlign w:val="center"/>
          </w:tcPr>
          <w:p>
            <w:pPr>
              <w:adjustRightInd w:val="0"/>
              <w:jc w:val="center"/>
              <w:rPr>
                <w:rFonts w:hint="eastAsia" w:cs="宋体" w:asciiTheme="minorEastAsia" w:hAnsiTheme="minorEastAsia" w:eastAsiaTheme="minorEastAsia"/>
                <w:kern w:val="0"/>
                <w:sz w:val="18"/>
                <w:szCs w:val="18"/>
              </w:rPr>
            </w:pPr>
          </w:p>
        </w:tc>
        <w:tc>
          <w:tcPr>
            <w:tcW w:w="428" w:type="pct"/>
            <w:vAlign w:val="center"/>
          </w:tcPr>
          <w:p>
            <w:pPr>
              <w:adjustRightInd w:val="0"/>
              <w:jc w:val="center"/>
              <w:rPr>
                <w:rFonts w:hint="eastAsia" w:cs="宋体" w:asciiTheme="minorEastAsia" w:hAnsiTheme="minorEastAsia" w:eastAsiaTheme="minorEastAsia"/>
                <w:kern w:val="0"/>
                <w:sz w:val="18"/>
                <w:szCs w:val="18"/>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1905" w:type="pct"/>
            <w:gridSpan w:val="4"/>
            <w:vAlign w:val="center"/>
          </w:tcPr>
          <w:p>
            <w:pPr>
              <w:adjustRightInd w:val="0"/>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未达到计划进度或预计收益的情况和原因（分具体项目）</w:t>
            </w:r>
          </w:p>
        </w:tc>
        <w:tc>
          <w:tcPr>
            <w:tcW w:w="3095" w:type="pct"/>
            <w:gridSpan w:val="7"/>
            <w:vAlign w:val="center"/>
          </w:tcPr>
          <w:p>
            <w:pPr>
              <w:spacing w:before="50" w:after="50"/>
              <w:rPr>
                <w:rFonts w:hint="eastAsia" w:cs="宋体" w:asciiTheme="minorEastAsia" w:hAnsiTheme="minorEastAsia" w:eastAsiaTheme="minorEastAsia"/>
                <w:kern w:val="0"/>
                <w:sz w:val="18"/>
                <w:szCs w:val="18"/>
              </w:rPr>
            </w:pPr>
            <w:r>
              <w:rPr>
                <w:rFonts w:cs="宋体" w:asciiTheme="minorEastAsia" w:hAnsiTheme="minorEastAsia" w:eastAsiaTheme="minorEastAsia"/>
                <w:kern w:val="0"/>
                <w:sz w:val="18"/>
                <w:szCs w:val="18"/>
              </w:rPr>
              <w:t>1、</w:t>
            </w:r>
            <w:r>
              <w:rPr>
                <w:rFonts w:hint="eastAsia" w:cs="宋体" w:asciiTheme="minorEastAsia" w:hAnsiTheme="minorEastAsia" w:eastAsiaTheme="minorEastAsia"/>
                <w:kern w:val="0"/>
                <w:sz w:val="18"/>
                <w:szCs w:val="18"/>
              </w:rPr>
              <w:t>智能计量表具终端未来工厂建设项目</w:t>
            </w:r>
          </w:p>
          <w:p>
            <w:pPr>
              <w:spacing w:before="50" w:after="50"/>
              <w:rPr>
                <w:rFonts w:hint="eastAsia" w:cs="宋体" w:asciiTheme="minorEastAsia" w:hAnsiTheme="minorEastAsia" w:eastAsiaTheme="minorEastAsia"/>
                <w:kern w:val="0"/>
                <w:sz w:val="18"/>
                <w:szCs w:val="18"/>
              </w:rPr>
            </w:pPr>
            <w:r>
              <w:rPr>
                <w:rFonts w:cs="宋体" w:asciiTheme="minorEastAsia" w:hAnsiTheme="minorEastAsia" w:eastAsiaTheme="minorEastAsia"/>
                <w:kern w:val="0"/>
                <w:sz w:val="18"/>
                <w:szCs w:val="18"/>
              </w:rPr>
              <w:t>该项目已调整。在募投项目建设期间，公司所属行业技术发展、市场需求及未来发展规划发生变化。从技术来看，近年来新一代气体及流量计量、智能化技术、燃气安全全域管理、数字化应用解决方案等技术发展较快，在此趋势下，行业整体向高端化、智能化、绿色化方向加速演进，促使公司需要持续提升产品智能化水平与综合性能；从市场需求来看，国内市场竞争激烈，公司计划开拓国际市场，而国际市场的标准、技术均与国内市场有所差异。</w:t>
            </w:r>
          </w:p>
          <w:p>
            <w:pPr>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w:t>
            </w:r>
            <w:r>
              <w:rPr>
                <w:rFonts w:hint="eastAsia" w:cs="宋体" w:asciiTheme="minorEastAsia" w:hAnsiTheme="minorEastAsia" w:eastAsiaTheme="minorEastAsia"/>
                <w:kern w:val="0"/>
                <w:sz w:val="18"/>
                <w:szCs w:val="18"/>
              </w:rPr>
              <w:t>智慧城市先进计量产业研发中心建设项目</w:t>
            </w:r>
          </w:p>
          <w:p>
            <w:pPr>
              <w:rPr>
                <w:rFonts w:hint="eastAsia" w:cs="宋体" w:asciiTheme="minorEastAsia" w:hAnsiTheme="minorEastAsia" w:eastAsiaTheme="minorEastAsia"/>
                <w:kern w:val="0"/>
                <w:sz w:val="18"/>
                <w:szCs w:val="18"/>
              </w:rPr>
            </w:pPr>
            <w:r>
              <w:rPr>
                <w:rFonts w:cs="宋体" w:asciiTheme="minorEastAsia" w:hAnsiTheme="minorEastAsia" w:eastAsiaTheme="minorEastAsia"/>
                <w:kern w:val="0"/>
                <w:sz w:val="18"/>
                <w:szCs w:val="18"/>
              </w:rPr>
              <w:t>该项目已调整。</w:t>
            </w:r>
            <w:r>
              <w:rPr>
                <w:rFonts w:hint="eastAsia" w:cs="宋体" w:asciiTheme="minorEastAsia" w:hAnsiTheme="minorEastAsia" w:eastAsiaTheme="minorEastAsia"/>
                <w:kern w:val="0"/>
                <w:sz w:val="18"/>
                <w:szCs w:val="18"/>
              </w:rPr>
              <w:t>自规划以来，公司市场需求结构迭代较快，技术路线呈现多元化发展趋势，原项目规划的研发方向与当前市场主流需求的匹配度有所降低；同时，公司此前的研发设备等投入已经基本能满足目前的需求。为提高研发效率，保障股东利益，公司需对未来研发资源的投入方向进行重新调整。</w:t>
            </w:r>
          </w:p>
          <w:p>
            <w:pPr>
              <w:spacing w:before="50" w:after="50"/>
              <w:rPr>
                <w:rFonts w:hint="eastAsia" w:cs="宋体" w:asciiTheme="minorEastAsia" w:hAnsiTheme="minorEastAsia" w:eastAsiaTheme="minorEastAsia"/>
                <w:kern w:val="0"/>
                <w:sz w:val="18"/>
                <w:szCs w:val="18"/>
              </w:rPr>
            </w:pPr>
            <w:r>
              <w:rPr>
                <w:rFonts w:cs="宋体" w:asciiTheme="minorEastAsia" w:hAnsiTheme="minorEastAsia" w:eastAsiaTheme="minorEastAsia"/>
                <w:kern w:val="0"/>
                <w:sz w:val="18"/>
                <w:szCs w:val="18"/>
              </w:rPr>
              <w:t>3、新一代智慧能源终端智能制造基地建设项目</w:t>
            </w:r>
          </w:p>
          <w:p>
            <w:pPr>
              <w:spacing w:before="50" w:after="50"/>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“智能计量表具终端未来工厂建设项目”与“智慧城市先进计量产业研发中心建设项目”</w:t>
            </w:r>
            <w:r>
              <w:rPr>
                <w:rFonts w:cs="宋体" w:asciiTheme="minorEastAsia" w:hAnsiTheme="minorEastAsia" w:eastAsiaTheme="minorEastAsia"/>
                <w:kern w:val="0"/>
                <w:sz w:val="18"/>
                <w:szCs w:val="18"/>
              </w:rPr>
              <w:t>已变更为“新一代智慧能源终端智能制造基地建设项目”。为进一步提高募集资金的使用效率，公司对原募投项目进行变更，增加投资规模用于建设新的生产基地，提高市场竞争力。</w:t>
            </w:r>
            <w:r>
              <w:rPr>
                <w:rFonts w:hint="eastAsia" w:cs="宋体" w:asciiTheme="minorEastAsia" w:hAnsiTheme="minorEastAsia" w:eastAsiaTheme="minorEastAsia"/>
                <w:kern w:val="0"/>
                <w:sz w:val="18"/>
                <w:szCs w:val="18"/>
              </w:rPr>
              <w:t>公司于2</w:t>
            </w:r>
            <w:r>
              <w:rPr>
                <w:rFonts w:cs="宋体" w:asciiTheme="minorEastAsia" w:hAnsiTheme="minorEastAsia" w:eastAsiaTheme="minorEastAsia"/>
                <w:kern w:val="0"/>
                <w:sz w:val="18"/>
                <w:szCs w:val="18"/>
              </w:rPr>
              <w:t>026年</w:t>
            </w:r>
            <w:r>
              <w:rPr>
                <w:rFonts w:hint="eastAsia" w:cs="宋体" w:asciiTheme="minorEastAsia" w:hAnsiTheme="minorEastAsia" w:eastAsiaTheme="minorEastAsia"/>
                <w:kern w:val="0"/>
                <w:sz w:val="18"/>
                <w:szCs w:val="18"/>
              </w:rPr>
              <w:t>5月2</w:t>
            </w:r>
            <w:r>
              <w:rPr>
                <w:rFonts w:cs="宋体" w:asciiTheme="minorEastAsia" w:hAnsiTheme="minorEastAsia" w:eastAsiaTheme="minorEastAsia"/>
                <w:kern w:val="0"/>
                <w:sz w:val="18"/>
                <w:szCs w:val="18"/>
              </w:rPr>
              <w:t>5日</w:t>
            </w:r>
            <w:r>
              <w:rPr>
                <w:rFonts w:hint="eastAsia" w:cs="宋体" w:asciiTheme="minorEastAsia" w:hAnsiTheme="minorEastAsia" w:eastAsiaTheme="minorEastAsia"/>
                <w:kern w:val="0"/>
                <w:sz w:val="18"/>
                <w:szCs w:val="18"/>
              </w:rPr>
              <w:t>召开第六届董事会第七次会议、2</w:t>
            </w:r>
            <w:r>
              <w:rPr>
                <w:rFonts w:cs="宋体" w:asciiTheme="minorEastAsia" w:hAnsiTheme="minorEastAsia" w:eastAsiaTheme="minorEastAsia"/>
                <w:kern w:val="0"/>
                <w:sz w:val="18"/>
                <w:szCs w:val="18"/>
              </w:rPr>
              <w:t>026年第六届董事审计委员会第二次会议以及</w:t>
            </w: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026年第六届独立董事专门会议第二次会议，</w:t>
            </w:r>
            <w:r>
              <w:rPr>
                <w:rFonts w:hint="eastAsia" w:cs="宋体" w:asciiTheme="minorEastAsia" w:hAnsiTheme="minorEastAsia" w:eastAsiaTheme="minorEastAsia"/>
                <w:kern w:val="0"/>
                <w:sz w:val="18"/>
                <w:szCs w:val="18"/>
              </w:rPr>
              <w:t>并于2</w:t>
            </w:r>
            <w:r>
              <w:rPr>
                <w:rFonts w:cs="宋体" w:asciiTheme="minorEastAsia" w:hAnsiTheme="minorEastAsia" w:eastAsiaTheme="minorEastAsia"/>
                <w:kern w:val="0"/>
                <w:sz w:val="18"/>
                <w:szCs w:val="18"/>
              </w:rPr>
              <w:t>026年</w:t>
            </w:r>
            <w:r>
              <w:rPr>
                <w:rFonts w:hint="eastAsia" w:cs="宋体" w:asciiTheme="minorEastAsia" w:hAnsiTheme="minorEastAsia" w:eastAsiaTheme="minorEastAsia"/>
                <w:kern w:val="0"/>
                <w:sz w:val="18"/>
                <w:szCs w:val="18"/>
              </w:rPr>
              <w:t>6月1</w:t>
            </w:r>
            <w:r>
              <w:rPr>
                <w:rFonts w:cs="宋体" w:asciiTheme="minorEastAsia" w:hAnsiTheme="minorEastAsia" w:eastAsiaTheme="minorEastAsia"/>
                <w:kern w:val="0"/>
                <w:sz w:val="18"/>
                <w:szCs w:val="18"/>
              </w:rPr>
              <w:t>0日召开</w:t>
            </w: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026年第二次临时股东会，审议通过了《关于变更部分募集资金用途的议案》</w:t>
            </w:r>
            <w:r>
              <w:rPr>
                <w:rFonts w:hint="eastAsia" w:cs="宋体" w:asciiTheme="minorEastAsia" w:hAnsiTheme="minorEastAsia" w:eastAsiaTheme="minorEastAsia"/>
                <w:kern w:val="0"/>
                <w:sz w:val="18"/>
                <w:szCs w:val="18"/>
              </w:rPr>
              <w:t>，同意公司将原募投项目</w:t>
            </w:r>
            <w:r>
              <w:rPr>
                <w:rFonts w:cs="宋体" w:asciiTheme="minorEastAsia" w:hAnsiTheme="minorEastAsia" w:eastAsiaTheme="minorEastAsia"/>
                <w:kern w:val="0"/>
                <w:sz w:val="18"/>
                <w:szCs w:val="18"/>
              </w:rPr>
              <w:t>“智能计量表具终端未来工厂建设项目”和“智慧城市先进计量及系统产业研发中心建设项目”变更为“新一代智慧能源终端智能制造基地建设项目”。具体内容详见公司</w:t>
            </w: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026年</w:t>
            </w:r>
            <w:r>
              <w:rPr>
                <w:rFonts w:hint="eastAsia" w:cs="宋体" w:asciiTheme="minorEastAsia" w:hAnsiTheme="minorEastAsia" w:eastAsiaTheme="minorEastAsia"/>
                <w:kern w:val="0"/>
                <w:sz w:val="18"/>
                <w:szCs w:val="18"/>
              </w:rPr>
              <w:t>5月2</w:t>
            </w:r>
            <w:r>
              <w:rPr>
                <w:rFonts w:cs="宋体" w:asciiTheme="minorEastAsia" w:hAnsiTheme="minorEastAsia" w:eastAsiaTheme="minorEastAsia"/>
                <w:kern w:val="0"/>
                <w:sz w:val="18"/>
                <w:szCs w:val="18"/>
              </w:rPr>
              <w:t>6日披露的《</w:t>
            </w:r>
            <w:r>
              <w:rPr>
                <w:rFonts w:hint="eastAsia" w:cs="宋体" w:asciiTheme="minorEastAsia" w:hAnsiTheme="minorEastAsia" w:eastAsiaTheme="minorEastAsia"/>
                <w:kern w:val="0"/>
                <w:sz w:val="18"/>
                <w:szCs w:val="18"/>
              </w:rPr>
              <w:t>关于变更部分募集资金用途、变更部分募集资金专户及使用募集资金向全资下属公司增资以实施募投项目的公告》（公告编号：2</w:t>
            </w:r>
            <w:r>
              <w:rPr>
                <w:rFonts w:cs="宋体" w:asciiTheme="minorEastAsia" w:hAnsiTheme="minorEastAsia" w:eastAsiaTheme="minorEastAsia"/>
                <w:kern w:val="0"/>
                <w:sz w:val="18"/>
                <w:szCs w:val="18"/>
              </w:rPr>
              <w:t>026-037）。</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1905" w:type="pct"/>
            <w:gridSpan w:val="4"/>
            <w:vAlign w:val="center"/>
          </w:tcPr>
          <w:p>
            <w:pPr>
              <w:adjustRightInd w:val="0"/>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项目可行性发生重大变化的情况说明</w:t>
            </w:r>
          </w:p>
        </w:tc>
        <w:tc>
          <w:tcPr>
            <w:tcW w:w="3095" w:type="pct"/>
            <w:gridSpan w:val="7"/>
            <w:vAlign w:val="center"/>
          </w:tcPr>
          <w:p>
            <w:pPr>
              <w:adjustRightInd w:val="0"/>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不适用。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1905" w:type="pct"/>
            <w:gridSpan w:val="4"/>
            <w:vAlign w:val="center"/>
          </w:tcPr>
          <w:p>
            <w:pPr>
              <w:adjustRightInd w:val="0"/>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超募资金的金额、用途及使用进展情况</w:t>
            </w:r>
          </w:p>
        </w:tc>
        <w:tc>
          <w:tcPr>
            <w:tcW w:w="3095" w:type="pct"/>
            <w:gridSpan w:val="7"/>
            <w:vAlign w:val="center"/>
          </w:tcPr>
          <w:p>
            <w:pPr>
              <w:adjustRightInd w:val="0"/>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不适用。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1905" w:type="pct"/>
            <w:gridSpan w:val="4"/>
            <w:vAlign w:val="center"/>
          </w:tcPr>
          <w:p>
            <w:pPr>
              <w:adjustRightInd w:val="0"/>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募集资金投资项目实施地点变更情况</w:t>
            </w:r>
          </w:p>
        </w:tc>
        <w:tc>
          <w:tcPr>
            <w:tcW w:w="3095" w:type="pct"/>
            <w:gridSpan w:val="7"/>
            <w:vAlign w:val="center"/>
          </w:tcPr>
          <w:p>
            <w:pPr>
              <w:adjustRightInd w:val="0"/>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新募投项目拟在杭州市良渚新城新购置约42亩土地，建设集生产车间、检测车间、仓储等设施约85,400平米的厂房，并引进高端智能化产线设备，最终打造高标准智慧能源终端产品智能制造基地。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1905" w:type="pct"/>
            <w:gridSpan w:val="4"/>
            <w:vAlign w:val="center"/>
          </w:tcPr>
          <w:p>
            <w:pPr>
              <w:adjustRightInd w:val="0"/>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募集资金投资项目实施方式调整情况</w:t>
            </w:r>
          </w:p>
        </w:tc>
        <w:tc>
          <w:tcPr>
            <w:tcW w:w="3095" w:type="pct"/>
            <w:gridSpan w:val="7"/>
            <w:vAlign w:val="center"/>
          </w:tcPr>
          <w:p>
            <w:pPr>
              <w:adjustRightInd w:val="0"/>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公司设立全资子公司杭州威星数联技术有限公司作为募投项目实施主体，并分阶段通过募集资金出资及增资方式保障项目建设资金需求。</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1905" w:type="pct"/>
            <w:gridSpan w:val="4"/>
            <w:vAlign w:val="center"/>
          </w:tcPr>
          <w:p>
            <w:pPr>
              <w:adjustRightInd w:val="0"/>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募集资金投资项目先期投入及置换情况</w:t>
            </w:r>
          </w:p>
        </w:tc>
        <w:tc>
          <w:tcPr>
            <w:tcW w:w="3095" w:type="pct"/>
            <w:gridSpan w:val="7"/>
            <w:vAlign w:val="center"/>
          </w:tcPr>
          <w:p>
            <w:pPr>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不适用。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1905" w:type="pct"/>
            <w:gridSpan w:val="4"/>
            <w:vAlign w:val="center"/>
          </w:tcPr>
          <w:p>
            <w:pPr>
              <w:adjustRightInd w:val="0"/>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用闲置募集资金暂时补充流动资金情况</w:t>
            </w:r>
          </w:p>
        </w:tc>
        <w:tc>
          <w:tcPr>
            <w:tcW w:w="3095" w:type="pct"/>
            <w:gridSpan w:val="7"/>
            <w:vAlign w:val="center"/>
          </w:tcPr>
          <w:p>
            <w:pPr>
              <w:adjustRightInd w:val="0"/>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2025年10月24日，公司第六届董事会第四次会议及第六届监事会第四次会议审议通过《关于继续使用部分闲置募集资金暂时补充流动资金的议案》，同意公司使用总金额不超过人民币10,000万元的闲置募集资金临时补充流动资金，使用期限不超过12个月。2025年11月13日召开2025年第一次临时股东会，审议通过了该议案。截至2026年6月30日，公司尚未使用闲置募集资金暂时补充流动资金。</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1905" w:type="pct"/>
            <w:gridSpan w:val="4"/>
            <w:vAlign w:val="center"/>
          </w:tcPr>
          <w:p>
            <w:pPr>
              <w:adjustRightInd w:val="0"/>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iCs/>
                <w:kern w:val="0"/>
                <w:sz w:val="18"/>
                <w:szCs w:val="18"/>
              </w:rPr>
              <w:t>用闲置募集资金进行现金管理情况</w:t>
            </w:r>
          </w:p>
        </w:tc>
        <w:tc>
          <w:tcPr>
            <w:tcW w:w="3095" w:type="pct"/>
            <w:gridSpan w:val="7"/>
            <w:vAlign w:val="center"/>
          </w:tcPr>
          <w:p>
            <w:pPr>
              <w:adjustRightInd w:val="0"/>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公司用闲置募集资金进行现金管理的情况详见本专项报告三(五)之说明，</w:t>
            </w:r>
            <w:r>
              <w:rPr>
                <w:rFonts w:cs="宋体" w:asciiTheme="minorEastAsia" w:hAnsiTheme="minorEastAsia" w:eastAsiaTheme="minorEastAsia"/>
                <w:kern w:val="0"/>
                <w:sz w:val="18"/>
                <w:szCs w:val="18"/>
              </w:rPr>
              <w:t>截至</w:t>
            </w:r>
            <w:r>
              <w:rPr>
                <w:rFonts w:hint="eastAsia" w:cs="宋体" w:asciiTheme="minorEastAsia" w:hAnsiTheme="minorEastAsia" w:eastAsiaTheme="minorEastAsia"/>
                <w:kern w:val="0"/>
                <w:sz w:val="18"/>
                <w:szCs w:val="18"/>
              </w:rPr>
              <w:t>202</w:t>
            </w:r>
            <w:r>
              <w:rPr>
                <w:rFonts w:cs="宋体" w:asciiTheme="minorEastAsia" w:hAnsiTheme="minorEastAsia" w:eastAsiaTheme="minorEastAsia"/>
                <w:kern w:val="0"/>
                <w:sz w:val="18"/>
                <w:szCs w:val="18"/>
              </w:rPr>
              <w:t>6</w:t>
            </w:r>
            <w:r>
              <w:rPr>
                <w:rFonts w:hint="eastAsia" w:cs="宋体" w:asciiTheme="minorEastAsia" w:hAnsiTheme="minorEastAsia" w:eastAsiaTheme="minorEastAsia"/>
                <w:kern w:val="0"/>
                <w:sz w:val="18"/>
                <w:szCs w:val="18"/>
              </w:rPr>
              <w:t>年6月30日</w:t>
            </w:r>
            <w:r>
              <w:rPr>
                <w:rFonts w:cs="宋体" w:asciiTheme="minorEastAsia" w:hAnsiTheme="minorEastAsia" w:eastAsiaTheme="minorEastAsia"/>
                <w:kern w:val="0"/>
                <w:sz w:val="18"/>
                <w:szCs w:val="18"/>
              </w:rPr>
              <w:t>，公司闲置募集资金进行现金管理的余额为0.00元。</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1905" w:type="pct"/>
            <w:gridSpan w:val="4"/>
            <w:vAlign w:val="center"/>
          </w:tcPr>
          <w:p>
            <w:pPr>
              <w:adjustRightInd w:val="0"/>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项目实施出现募集资金节余的金额及原因</w:t>
            </w:r>
          </w:p>
        </w:tc>
        <w:tc>
          <w:tcPr>
            <w:tcW w:w="3095" w:type="pct"/>
            <w:gridSpan w:val="7"/>
            <w:vAlign w:val="center"/>
          </w:tcPr>
          <w:p>
            <w:pPr>
              <w:adjustRightInd w:val="0"/>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不适用。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1905" w:type="pct"/>
            <w:gridSpan w:val="4"/>
            <w:vAlign w:val="center"/>
          </w:tcPr>
          <w:p>
            <w:pPr>
              <w:adjustRightInd w:val="0"/>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尚未使用的募集资金用途及去向</w:t>
            </w:r>
          </w:p>
        </w:tc>
        <w:tc>
          <w:tcPr>
            <w:tcW w:w="3095" w:type="pct"/>
            <w:gridSpan w:val="7"/>
            <w:vAlign w:val="center"/>
          </w:tcPr>
          <w:p>
            <w:pPr>
              <w:adjustRightInd w:val="0"/>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详见本报告一（二）之说明,公司尚未使用的募集资金暂存募集资金专用账户。</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1905" w:type="pct"/>
            <w:gridSpan w:val="4"/>
            <w:vAlign w:val="center"/>
          </w:tcPr>
          <w:p>
            <w:pPr>
              <w:adjustRightInd w:val="0"/>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募集资金使用及披露中存在的问题或其他情况</w:t>
            </w:r>
          </w:p>
        </w:tc>
        <w:tc>
          <w:tcPr>
            <w:tcW w:w="3095" w:type="pct"/>
            <w:gridSpan w:val="7"/>
            <w:vAlign w:val="center"/>
          </w:tcPr>
          <w:p>
            <w:pPr>
              <w:adjustRightInd w:val="0"/>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不适用。</w:t>
            </w:r>
          </w:p>
        </w:tc>
      </w:tr>
    </w:tbl>
    <w:p>
      <w:pPr>
        <w:jc w:val="left"/>
        <w:rPr>
          <w:rFonts w:hint="eastAsia" w:cs="宋体" w:asciiTheme="minorEastAsia" w:hAnsiTheme="minorEastAsia" w:eastAsiaTheme="minorEastAsia"/>
          <w:kern w:val="0"/>
          <w:sz w:val="18"/>
          <w:szCs w:val="18"/>
        </w:rPr>
      </w:pPr>
      <w:r>
        <w:rPr>
          <w:rFonts w:cs="宋体" w:asciiTheme="minorEastAsia" w:hAnsiTheme="minorEastAsia" w:eastAsiaTheme="minorEastAsia"/>
          <w:kern w:val="0"/>
          <w:sz w:val="18"/>
          <w:szCs w:val="18"/>
        </w:rPr>
        <w:t>[注</w:t>
      </w:r>
      <w:r>
        <w:rPr>
          <w:rFonts w:hint="eastAsia" w:cs="宋体" w:asciiTheme="minorEastAsia" w:hAnsiTheme="minorEastAsia" w:eastAsiaTheme="minorEastAsia"/>
          <w:kern w:val="0"/>
          <w:sz w:val="18"/>
          <w:szCs w:val="18"/>
        </w:rPr>
        <w:t>1</w:t>
      </w:r>
      <w:r>
        <w:rPr>
          <w:rFonts w:cs="宋体" w:asciiTheme="minorEastAsia" w:hAnsiTheme="minorEastAsia" w:eastAsiaTheme="minorEastAsia"/>
          <w:kern w:val="0"/>
          <w:sz w:val="18"/>
          <w:szCs w:val="18"/>
        </w:rPr>
        <w:t>]</w:t>
      </w:r>
      <w:r>
        <w:rPr>
          <w:rFonts w:hint="eastAsia" w:cs="宋体" w:asciiTheme="minorEastAsia" w:hAnsiTheme="minorEastAsia" w:eastAsiaTheme="minorEastAsia"/>
          <w:kern w:val="0"/>
          <w:sz w:val="18"/>
          <w:szCs w:val="18"/>
        </w:rPr>
        <w:t xml:space="preserve"> 公司于2</w:t>
      </w:r>
      <w:r>
        <w:rPr>
          <w:rFonts w:cs="宋体" w:asciiTheme="minorEastAsia" w:hAnsiTheme="minorEastAsia" w:eastAsiaTheme="minorEastAsia"/>
          <w:kern w:val="0"/>
          <w:sz w:val="18"/>
          <w:szCs w:val="18"/>
        </w:rPr>
        <w:t>026年5</w:t>
      </w:r>
      <w:r>
        <w:rPr>
          <w:rFonts w:hint="eastAsia" w:cs="宋体" w:asciiTheme="minorEastAsia" w:hAnsiTheme="minorEastAsia" w:eastAsiaTheme="minorEastAsia"/>
          <w:kern w:val="0"/>
          <w:sz w:val="18"/>
          <w:szCs w:val="18"/>
        </w:rPr>
        <w:t>月</w:t>
      </w:r>
      <w:r>
        <w:rPr>
          <w:rFonts w:cs="宋体" w:asciiTheme="minorEastAsia" w:hAnsiTheme="minorEastAsia" w:eastAsiaTheme="minorEastAsia"/>
          <w:kern w:val="0"/>
          <w:sz w:val="18"/>
          <w:szCs w:val="18"/>
        </w:rPr>
        <w:t>25日召开第六届董事会第七次会议、</w:t>
      </w: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026年第六届董事会审计委员会第二次会议以及</w:t>
      </w: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026年第六届独立董事专门会议第二次会议，并于</w:t>
      </w: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026年</w:t>
      </w:r>
      <w:r>
        <w:rPr>
          <w:rFonts w:hint="eastAsia" w:cs="宋体" w:asciiTheme="minorEastAsia" w:hAnsiTheme="minorEastAsia" w:eastAsiaTheme="minorEastAsia"/>
          <w:kern w:val="0"/>
          <w:sz w:val="18"/>
          <w:szCs w:val="18"/>
        </w:rPr>
        <w:t>6月1</w:t>
      </w:r>
      <w:r>
        <w:rPr>
          <w:rFonts w:cs="宋体" w:asciiTheme="minorEastAsia" w:hAnsiTheme="minorEastAsia" w:eastAsiaTheme="minorEastAsia"/>
          <w:kern w:val="0"/>
          <w:sz w:val="18"/>
          <w:szCs w:val="18"/>
        </w:rPr>
        <w:t>0日召开</w:t>
      </w: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026年第二次临时股东会，审议通过了《关于变更部分募集资金用途的议案》。公司结合新募投项目的基本情况和投资计划、项目建设的可行性及项目面临的风险，预计“新一代智慧能源终端智能制造基地建设项目”达到预定可使用状态的时间为</w:t>
      </w: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029年</w:t>
      </w:r>
      <w:r>
        <w:rPr>
          <w:rFonts w:hint="eastAsia" w:cs="宋体" w:asciiTheme="minorEastAsia" w:hAnsiTheme="minorEastAsia" w:eastAsiaTheme="minorEastAsia"/>
          <w:kern w:val="0"/>
          <w:sz w:val="18"/>
          <w:szCs w:val="18"/>
        </w:rPr>
        <w:t>6月1</w:t>
      </w:r>
      <w:r>
        <w:rPr>
          <w:rFonts w:cs="宋体" w:asciiTheme="minorEastAsia" w:hAnsiTheme="minorEastAsia" w:eastAsiaTheme="minorEastAsia"/>
          <w:kern w:val="0"/>
          <w:sz w:val="18"/>
          <w:szCs w:val="18"/>
        </w:rPr>
        <w:t>0日，即自2026年第二次临时股东会审议通过之日起</w:t>
      </w:r>
      <w:r>
        <w:rPr>
          <w:rFonts w:hint="eastAsia" w:cs="宋体" w:asciiTheme="minorEastAsia" w:hAnsiTheme="minorEastAsia" w:eastAsiaTheme="minorEastAsia"/>
          <w:kern w:val="0"/>
          <w:sz w:val="18"/>
          <w:szCs w:val="18"/>
        </w:rPr>
        <w:t>3年。</w:t>
      </w:r>
    </w:p>
    <w:p>
      <w:pPr>
        <w:ind w:right="420"/>
        <w:rPr>
          <w:rFonts w:hint="eastAsia" w:cs="宋体" w:asciiTheme="minorEastAsia" w:hAnsiTheme="minorEastAsia" w:eastAsiaTheme="minorEastAsia"/>
          <w:kern w:val="0"/>
          <w:sz w:val="18"/>
          <w:szCs w:val="18"/>
        </w:rPr>
      </w:pPr>
      <w:r>
        <w:rPr>
          <w:rFonts w:cs="宋体" w:asciiTheme="minorEastAsia" w:hAnsiTheme="minorEastAsia" w:eastAsiaTheme="minorEastAsia"/>
          <w:kern w:val="0"/>
          <w:sz w:val="18"/>
          <w:szCs w:val="18"/>
        </w:rPr>
        <w:t>[注</w:t>
      </w: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w:t>
      </w:r>
      <w:r>
        <w:rPr>
          <w:rFonts w:hint="eastAsia" w:cs="宋体" w:asciiTheme="minorEastAsia" w:hAnsiTheme="minorEastAsia" w:eastAsiaTheme="minorEastAsia"/>
          <w:kern w:val="0"/>
          <w:sz w:val="18"/>
          <w:szCs w:val="18"/>
        </w:rPr>
        <w:t xml:space="preserve"> “</w:t>
      </w:r>
      <w:r>
        <w:rPr>
          <w:rFonts w:cs="宋体" w:asciiTheme="minorEastAsia" w:hAnsiTheme="minorEastAsia" w:eastAsiaTheme="minorEastAsia"/>
          <w:kern w:val="0"/>
          <w:sz w:val="18"/>
          <w:szCs w:val="18"/>
        </w:rPr>
        <w:t>新一代智慧能源终端智能制造基地建设项目”</w:t>
      </w:r>
      <w:r>
        <w:rPr>
          <w:rFonts w:hint="eastAsia" w:cs="宋体" w:asciiTheme="minorEastAsia" w:hAnsiTheme="minorEastAsia" w:eastAsiaTheme="minorEastAsia"/>
          <w:kern w:val="0"/>
          <w:sz w:val="18"/>
          <w:szCs w:val="18"/>
        </w:rPr>
        <w:t>尚处实施阶段，尚未产生效益。</w:t>
      </w:r>
    </w:p>
    <w:p>
      <w:pPr>
        <w:ind w:right="420"/>
        <w:rPr>
          <w:rFonts w:hint="eastAsia" w:asciiTheme="minorEastAsia" w:hAnsiTheme="minorEastAsia" w:eastAsiaTheme="minorEastAsia"/>
          <w:szCs w:val="21"/>
        </w:rPr>
      </w:pPr>
      <w:r>
        <w:rPr>
          <w:rFonts w:cs="宋体" w:asciiTheme="minorEastAsia" w:hAnsiTheme="minorEastAsia" w:eastAsiaTheme="minorEastAsia"/>
          <w:kern w:val="0"/>
          <w:sz w:val="18"/>
          <w:szCs w:val="18"/>
        </w:rPr>
        <w:t>[注</w:t>
      </w:r>
      <w:r>
        <w:rPr>
          <w:rFonts w:hint="eastAsia" w:cs="宋体" w:asciiTheme="minorEastAsia" w:hAnsiTheme="minorEastAsia" w:eastAsiaTheme="minorEastAsia"/>
          <w:kern w:val="0"/>
          <w:sz w:val="18"/>
          <w:szCs w:val="18"/>
        </w:rPr>
        <w:t>3</w:t>
      </w:r>
      <w:r>
        <w:rPr>
          <w:rFonts w:cs="宋体" w:asciiTheme="minorEastAsia" w:hAnsiTheme="minorEastAsia" w:eastAsiaTheme="minorEastAsia"/>
          <w:kern w:val="0"/>
          <w:sz w:val="18"/>
          <w:szCs w:val="18"/>
        </w:rPr>
        <w:t>]</w:t>
      </w:r>
      <w:r>
        <w:rPr>
          <w:rFonts w:hint="eastAsia" w:cs="宋体" w:asciiTheme="minorEastAsia" w:hAnsiTheme="minorEastAsia" w:eastAsiaTheme="minorEastAsia"/>
          <w:kern w:val="0"/>
          <w:sz w:val="18"/>
          <w:szCs w:val="18"/>
        </w:rPr>
        <w:t xml:space="preserve"> 补充流动资金期末投资进度比例超过100%，系补充流动资金收到利息收入所致。</w:t>
      </w:r>
    </w:p>
    <w:p>
      <w:pPr>
        <w:rPr>
          <w:rFonts w:hint="eastAsia" w:cs="宋体" w:asciiTheme="minorEastAsia" w:hAnsiTheme="minorEastAsia" w:eastAsiaTheme="minorEastAsia"/>
          <w:kern w:val="0"/>
          <w:sz w:val="18"/>
          <w:szCs w:val="18"/>
        </w:rPr>
      </w:pPr>
    </w:p>
    <w:p>
      <w:pPr>
        <w:rPr>
          <w:rFonts w:hint="eastAsia" w:cs="宋体" w:asciiTheme="minorEastAsia" w:hAnsiTheme="minorEastAsia" w:eastAsiaTheme="minorEastAsia"/>
          <w:kern w:val="0"/>
          <w:sz w:val="18"/>
          <w:szCs w:val="18"/>
        </w:rPr>
      </w:pPr>
    </w:p>
    <w:p>
      <w:pPr>
        <w:rPr>
          <w:rFonts w:hint="eastAsia" w:cs="宋体" w:asciiTheme="minorEastAsia" w:hAnsiTheme="minorEastAsia" w:eastAsiaTheme="minorEastAsia"/>
          <w:kern w:val="0"/>
          <w:sz w:val="18"/>
          <w:szCs w:val="18"/>
        </w:rPr>
      </w:pPr>
    </w:p>
    <w:p>
      <w:pPr>
        <w:rPr>
          <w:rFonts w:hint="eastAsia" w:cs="宋体" w:asciiTheme="minorEastAsia" w:hAnsiTheme="minorEastAsia" w:eastAsiaTheme="minorEastAsia"/>
          <w:kern w:val="0"/>
          <w:sz w:val="18"/>
          <w:szCs w:val="18"/>
        </w:rPr>
      </w:pPr>
    </w:p>
    <w:p>
      <w:pPr>
        <w:rPr>
          <w:rFonts w:hint="eastAsia" w:cs="宋体" w:asciiTheme="minorEastAsia" w:hAnsiTheme="minorEastAsia" w:eastAsiaTheme="minorEastAsia"/>
          <w:kern w:val="0"/>
          <w:sz w:val="18"/>
          <w:szCs w:val="18"/>
        </w:rPr>
      </w:pPr>
    </w:p>
    <w:p>
      <w:pPr>
        <w:rPr>
          <w:rFonts w:hint="eastAsia" w:cs="宋体" w:asciiTheme="minorEastAsia" w:hAnsiTheme="minorEastAsia" w:eastAsiaTheme="minorEastAsia"/>
          <w:kern w:val="0"/>
          <w:sz w:val="18"/>
          <w:szCs w:val="18"/>
        </w:rPr>
      </w:pPr>
    </w:p>
    <w:p>
      <w:pPr>
        <w:rPr>
          <w:rFonts w:hint="eastAsia" w:cs="宋体" w:asciiTheme="minorEastAsia" w:hAnsiTheme="minorEastAsia" w:eastAsiaTheme="minorEastAsia"/>
          <w:kern w:val="0"/>
          <w:sz w:val="18"/>
          <w:szCs w:val="18"/>
        </w:rPr>
      </w:pPr>
    </w:p>
    <w:p>
      <w:pPr>
        <w:rPr>
          <w:rFonts w:hint="eastAsia" w:cs="宋体" w:asciiTheme="minorEastAsia" w:hAnsiTheme="minorEastAsia" w:eastAsiaTheme="minorEastAsia"/>
          <w:kern w:val="0"/>
          <w:sz w:val="18"/>
          <w:szCs w:val="18"/>
        </w:rPr>
      </w:pPr>
    </w:p>
    <w:p>
      <w:pPr>
        <w:rPr>
          <w:rFonts w:hint="eastAsia" w:cs="宋体" w:asciiTheme="minorEastAsia" w:hAnsiTheme="minorEastAsia" w:eastAsiaTheme="minorEastAsia"/>
          <w:kern w:val="0"/>
          <w:sz w:val="18"/>
          <w:szCs w:val="18"/>
        </w:rPr>
      </w:pPr>
    </w:p>
    <w:p>
      <w:pPr>
        <w:rPr>
          <w:rFonts w:hint="eastAsia" w:cs="宋体" w:asciiTheme="minorEastAsia" w:hAnsiTheme="minorEastAsia" w:eastAsiaTheme="minorEastAsia"/>
          <w:kern w:val="0"/>
          <w:sz w:val="18"/>
          <w:szCs w:val="18"/>
        </w:rPr>
      </w:pPr>
    </w:p>
    <w:p>
      <w:pPr>
        <w:spacing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附件</w:t>
      </w:r>
      <w:r>
        <w:rPr>
          <w:rFonts w:cs="宋体" w:asciiTheme="minorEastAsia" w:hAnsiTheme="minorEastAsia" w:eastAsiaTheme="minorEastAsia"/>
          <w:kern w:val="0"/>
          <w:szCs w:val="21"/>
        </w:rPr>
        <w:t>2</w:t>
      </w:r>
    </w:p>
    <w:p>
      <w:pPr>
        <w:spacing w:line="360" w:lineRule="auto"/>
        <w:jc w:val="center"/>
        <w:rPr>
          <w:rFonts w:hint="eastAsia" w:cs="宋体" w:asciiTheme="minorEastAsia" w:hAnsiTheme="minorEastAsia" w:eastAsiaTheme="minorEastAsia"/>
          <w:b/>
          <w:bCs/>
          <w:kern w:val="0"/>
          <w:sz w:val="28"/>
          <w:szCs w:val="28"/>
        </w:rPr>
      </w:pPr>
      <w:r>
        <w:rPr>
          <w:rFonts w:hint="eastAsia" w:cs="宋体" w:asciiTheme="minorEastAsia" w:hAnsiTheme="minorEastAsia" w:eastAsiaTheme="minorEastAsia"/>
          <w:b/>
          <w:bCs/>
          <w:kern w:val="0"/>
          <w:sz w:val="28"/>
          <w:szCs w:val="28"/>
        </w:rPr>
        <w:t>变更募集资金投资项目情况表</w:t>
      </w:r>
    </w:p>
    <w:p>
      <w:pPr>
        <w:spacing w:line="360" w:lineRule="auto"/>
        <w:jc w:val="center"/>
        <w:rPr>
          <w:rFonts w:hint="eastAsia"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20</w:t>
      </w:r>
      <w:r>
        <w:rPr>
          <w:rFonts w:hint="eastAsia" w:asciiTheme="minorEastAsia" w:hAnsiTheme="minorEastAsia" w:eastAsiaTheme="minorEastAsia"/>
          <w:color w:val="000000"/>
          <w:szCs w:val="21"/>
        </w:rPr>
        <w:t>2</w:t>
      </w:r>
      <w:r>
        <w:rPr>
          <w:rFonts w:asciiTheme="minorEastAsia" w:hAnsiTheme="minorEastAsia" w:eastAsiaTheme="minorEastAsia"/>
          <w:color w:val="000000"/>
          <w:szCs w:val="21"/>
        </w:rPr>
        <w:t>6</w:t>
      </w:r>
      <w:r>
        <w:rPr>
          <w:rFonts w:hint="eastAsia" w:cs="宋体" w:asciiTheme="minorEastAsia" w:hAnsiTheme="minorEastAsia" w:eastAsiaTheme="minorEastAsia"/>
          <w:color w:val="000000"/>
          <w:kern w:val="0"/>
          <w:szCs w:val="21"/>
        </w:rPr>
        <w:t>年1-6月</w:t>
      </w:r>
    </w:p>
    <w:p>
      <w:pPr>
        <w:spacing w:line="360" w:lineRule="auto"/>
        <w:rPr>
          <w:rFonts w:hint="eastAsia" w:asciiTheme="minorEastAsia" w:hAnsiTheme="minorEastAsia" w:eastAsiaTheme="minorEastAsia"/>
          <w:color w:val="000000"/>
          <w:szCs w:val="21"/>
        </w:rPr>
      </w:pPr>
      <w:r>
        <w:rPr>
          <w:rFonts w:hint="eastAsia" w:cs="宋体" w:asciiTheme="minorEastAsia" w:hAnsiTheme="minorEastAsia" w:eastAsiaTheme="minorEastAsia"/>
          <w:color w:val="000000"/>
          <w:kern w:val="0"/>
          <w:szCs w:val="21"/>
        </w:rPr>
        <w:t>编制单位：浙江威星智能仪表股份有限公司</w:t>
      </w:r>
      <w:r>
        <w:rPr>
          <w:rFonts w:hint="eastAsia" w:cs="宋体" w:asciiTheme="minorEastAsia" w:hAnsiTheme="minorEastAsia" w:eastAsiaTheme="minorEastAsia"/>
          <w:color w:val="000000"/>
          <w:kern w:val="0"/>
          <w:szCs w:val="21"/>
        </w:rPr>
        <w:tab/>
      </w:r>
      <w:r>
        <w:rPr>
          <w:rFonts w:hint="eastAsia" w:cs="宋体" w:asciiTheme="minorEastAsia" w:hAnsiTheme="minorEastAsia" w:eastAsiaTheme="minorEastAsia"/>
          <w:color w:val="000000"/>
          <w:kern w:val="0"/>
          <w:szCs w:val="21"/>
        </w:rPr>
        <w:tab/>
      </w:r>
      <w:r>
        <w:rPr>
          <w:rFonts w:hint="eastAsia" w:cs="宋体" w:asciiTheme="minorEastAsia" w:hAnsiTheme="minorEastAsia" w:eastAsiaTheme="minorEastAsia"/>
          <w:color w:val="000000"/>
          <w:kern w:val="0"/>
          <w:szCs w:val="21"/>
        </w:rPr>
        <w:tab/>
      </w:r>
      <w:r>
        <w:rPr>
          <w:rFonts w:hint="eastAsia" w:cs="宋体" w:asciiTheme="minorEastAsia" w:hAnsiTheme="minorEastAsia" w:eastAsiaTheme="minorEastAsia"/>
          <w:color w:val="000000"/>
          <w:kern w:val="0"/>
          <w:szCs w:val="21"/>
        </w:rPr>
        <w:tab/>
      </w:r>
      <w:r>
        <w:rPr>
          <w:rFonts w:hint="eastAsia" w:cs="宋体" w:asciiTheme="minorEastAsia" w:hAnsiTheme="minorEastAsia" w:eastAsiaTheme="minorEastAsia"/>
          <w:color w:val="000000"/>
          <w:kern w:val="0"/>
          <w:szCs w:val="21"/>
        </w:rPr>
        <w:tab/>
      </w:r>
      <w:r>
        <w:rPr>
          <w:rFonts w:hint="eastAsia" w:cs="宋体" w:asciiTheme="minorEastAsia" w:hAnsiTheme="minorEastAsia" w:eastAsiaTheme="minorEastAsia"/>
          <w:color w:val="000000"/>
          <w:kern w:val="0"/>
          <w:szCs w:val="21"/>
        </w:rPr>
        <w:tab/>
      </w:r>
      <w:r>
        <w:rPr>
          <w:rFonts w:hint="eastAsia" w:cs="宋体" w:asciiTheme="minorEastAsia" w:hAnsiTheme="minorEastAsia" w:eastAsiaTheme="minorEastAsia"/>
          <w:color w:val="000000"/>
          <w:kern w:val="0"/>
          <w:szCs w:val="21"/>
        </w:rPr>
        <w:tab/>
      </w:r>
      <w:r>
        <w:rPr>
          <w:rFonts w:hint="eastAsia" w:cs="宋体" w:asciiTheme="minorEastAsia" w:hAnsiTheme="minorEastAsia" w:eastAsiaTheme="minorEastAsia"/>
          <w:color w:val="000000"/>
          <w:kern w:val="0"/>
          <w:szCs w:val="21"/>
        </w:rPr>
        <w:tab/>
      </w:r>
      <w:r>
        <w:rPr>
          <w:rFonts w:hint="eastAsia" w:cs="宋体" w:asciiTheme="minorEastAsia" w:hAnsiTheme="minorEastAsia" w:eastAsiaTheme="minorEastAsia"/>
          <w:color w:val="000000"/>
          <w:kern w:val="0"/>
          <w:szCs w:val="21"/>
        </w:rPr>
        <w:tab/>
      </w:r>
      <w:r>
        <w:rPr>
          <w:rFonts w:hint="eastAsia" w:cs="宋体" w:asciiTheme="minorEastAsia" w:hAnsiTheme="minorEastAsia" w:eastAsiaTheme="minorEastAsia"/>
          <w:color w:val="000000"/>
          <w:kern w:val="0"/>
          <w:szCs w:val="21"/>
        </w:rPr>
        <w:tab/>
      </w:r>
      <w:r>
        <w:rPr>
          <w:rFonts w:hint="eastAsia" w:cs="宋体" w:asciiTheme="minorEastAsia" w:hAnsiTheme="minorEastAsia" w:eastAsiaTheme="minorEastAsia"/>
          <w:color w:val="000000"/>
          <w:kern w:val="0"/>
          <w:szCs w:val="21"/>
        </w:rPr>
        <w:tab/>
      </w:r>
      <w:r>
        <w:rPr>
          <w:rFonts w:hint="eastAsia" w:cs="宋体" w:asciiTheme="minorEastAsia" w:hAnsiTheme="minorEastAsia" w:eastAsiaTheme="minorEastAsia"/>
          <w:color w:val="000000"/>
          <w:kern w:val="0"/>
          <w:szCs w:val="21"/>
        </w:rPr>
        <w:tab/>
      </w:r>
      <w:r>
        <w:rPr>
          <w:rFonts w:hint="eastAsia" w:cs="宋体" w:asciiTheme="minorEastAsia" w:hAnsiTheme="minorEastAsia" w:eastAsiaTheme="minorEastAsia"/>
          <w:color w:val="000000"/>
          <w:kern w:val="0"/>
          <w:szCs w:val="21"/>
        </w:rPr>
        <w:tab/>
      </w:r>
      <w:r>
        <w:rPr>
          <w:rFonts w:hint="eastAsia" w:cs="宋体" w:asciiTheme="minorEastAsia" w:hAnsiTheme="minorEastAsia" w:eastAsiaTheme="minorEastAsia"/>
          <w:color w:val="000000"/>
          <w:kern w:val="0"/>
          <w:szCs w:val="21"/>
        </w:rPr>
        <w:tab/>
      </w:r>
      <w:r>
        <w:rPr>
          <w:rFonts w:hint="eastAsia" w:cs="宋体" w:asciiTheme="minorEastAsia" w:hAnsiTheme="minorEastAsia" w:eastAsiaTheme="minorEastAsia"/>
          <w:color w:val="000000"/>
          <w:kern w:val="0"/>
          <w:szCs w:val="21"/>
        </w:rPr>
        <w:tab/>
      </w:r>
      <w:r>
        <w:rPr>
          <w:rFonts w:hint="eastAsia" w:cs="宋体" w:asciiTheme="minorEastAsia" w:hAnsiTheme="minorEastAsia" w:eastAsiaTheme="minorEastAsia"/>
          <w:color w:val="000000"/>
          <w:kern w:val="0"/>
          <w:szCs w:val="21"/>
        </w:rPr>
        <w:tab/>
      </w:r>
      <w:r>
        <w:rPr>
          <w:rFonts w:hint="eastAsia" w:cs="宋体" w:asciiTheme="minorEastAsia" w:hAnsiTheme="minorEastAsia" w:eastAsiaTheme="minorEastAsia"/>
          <w:color w:val="000000"/>
          <w:kern w:val="0"/>
          <w:szCs w:val="21"/>
        </w:rPr>
        <w:tab/>
      </w:r>
      <w:r>
        <w:rPr>
          <w:rFonts w:hint="eastAsia" w:cs="宋体" w:asciiTheme="minorEastAsia" w:hAnsiTheme="minorEastAsia" w:eastAsiaTheme="minorEastAsia"/>
          <w:color w:val="000000"/>
          <w:kern w:val="0"/>
          <w:szCs w:val="21"/>
        </w:rPr>
        <w:tab/>
      </w:r>
      <w:r>
        <w:rPr>
          <w:rFonts w:hint="eastAsia" w:cs="宋体" w:asciiTheme="minorEastAsia" w:hAnsiTheme="minorEastAsia" w:eastAsiaTheme="minorEastAsia"/>
          <w:color w:val="000000"/>
          <w:kern w:val="0"/>
          <w:szCs w:val="21"/>
        </w:rPr>
        <w:tab/>
      </w:r>
      <w:r>
        <w:rPr>
          <w:rFonts w:hint="eastAsia" w:cs="宋体" w:asciiTheme="minorEastAsia" w:hAnsiTheme="minorEastAsia" w:eastAsiaTheme="minorEastAsia"/>
          <w:color w:val="000000"/>
          <w:kern w:val="0"/>
          <w:szCs w:val="21"/>
        </w:rPr>
        <w:t xml:space="preserve"> 金额单位：人民币万元</w:t>
      </w:r>
    </w:p>
    <w:tbl>
      <w:tblPr>
        <w:tblStyle w:val="9"/>
        <w:tblW w:w="0" w:type="auto"/>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2268"/>
        <w:gridCol w:w="992"/>
        <w:gridCol w:w="1134"/>
        <w:gridCol w:w="1243"/>
        <w:gridCol w:w="1401"/>
        <w:gridCol w:w="1750"/>
        <w:gridCol w:w="1418"/>
        <w:gridCol w:w="1038"/>
        <w:gridCol w:w="1404"/>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pPr>
              <w:jc w:val="center"/>
              <w:rPr>
                <w:rFonts w:hint="eastAsia" w:asciiTheme="minorEastAsia" w:hAnsiTheme="minorEastAsia" w:eastAsiaTheme="minorEastAsia"/>
                <w:szCs w:val="21"/>
              </w:rPr>
            </w:pPr>
            <w:r>
              <w:rPr>
                <w:rFonts w:hint="eastAsia" w:cs="宋体" w:asciiTheme="minorEastAsia" w:hAnsiTheme="minorEastAsia" w:eastAsiaTheme="minorEastAsia"/>
                <w:kern w:val="0"/>
                <w:sz w:val="18"/>
                <w:szCs w:val="18"/>
              </w:rPr>
              <w:t>变更后的项目</w:t>
            </w:r>
          </w:p>
        </w:tc>
        <w:tc>
          <w:tcPr>
            <w:tcW w:w="2268" w:type="dxa"/>
            <w:vAlign w:val="center"/>
          </w:tcPr>
          <w:p>
            <w:pPr>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对应的原承诺项目</w:t>
            </w:r>
          </w:p>
        </w:tc>
        <w:tc>
          <w:tcPr>
            <w:tcW w:w="992" w:type="dxa"/>
            <w:vAlign w:val="center"/>
          </w:tcPr>
          <w:p>
            <w:pPr>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变更后项目拟投入募集资金总额（1）</w:t>
            </w:r>
          </w:p>
        </w:tc>
        <w:tc>
          <w:tcPr>
            <w:tcW w:w="1134" w:type="dxa"/>
            <w:vAlign w:val="center"/>
          </w:tcPr>
          <w:p>
            <w:pPr>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本报告期实际投入金额</w:t>
            </w:r>
          </w:p>
        </w:tc>
        <w:tc>
          <w:tcPr>
            <w:tcW w:w="1243" w:type="dxa"/>
            <w:vAlign w:val="center"/>
          </w:tcPr>
          <w:p>
            <w:pPr>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截至期末实际累计投入金额（2）</w:t>
            </w:r>
          </w:p>
        </w:tc>
        <w:tc>
          <w:tcPr>
            <w:tcW w:w="1401" w:type="dxa"/>
            <w:vAlign w:val="center"/>
          </w:tcPr>
          <w:p>
            <w:pPr>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截至期末投资进度（3）=（2）/</w:t>
            </w:r>
            <w:r>
              <w:rPr>
                <w:rFonts w:cs="宋体" w:asciiTheme="minorEastAsia" w:hAnsiTheme="minorEastAsia" w:eastAsiaTheme="minorEastAsia"/>
                <w:kern w:val="0"/>
                <w:sz w:val="18"/>
                <w:szCs w:val="18"/>
              </w:rPr>
              <w:t>（</w:t>
            </w:r>
            <w:r>
              <w:rPr>
                <w:rFonts w:hint="eastAsia" w:cs="宋体" w:asciiTheme="minorEastAsia" w:hAnsiTheme="minorEastAsia" w:eastAsiaTheme="minorEastAsia"/>
                <w:kern w:val="0"/>
                <w:sz w:val="18"/>
                <w:szCs w:val="18"/>
              </w:rPr>
              <w:t>1）</w:t>
            </w:r>
          </w:p>
        </w:tc>
        <w:tc>
          <w:tcPr>
            <w:tcW w:w="1750" w:type="dxa"/>
            <w:vAlign w:val="center"/>
          </w:tcPr>
          <w:p>
            <w:pPr>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项目达到预定可使用状态日期</w:t>
            </w:r>
          </w:p>
        </w:tc>
        <w:tc>
          <w:tcPr>
            <w:tcW w:w="1418" w:type="dxa"/>
            <w:vAlign w:val="center"/>
          </w:tcPr>
          <w:p>
            <w:pPr>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本报告期实现的效益</w:t>
            </w:r>
          </w:p>
        </w:tc>
        <w:tc>
          <w:tcPr>
            <w:tcW w:w="1038" w:type="dxa"/>
            <w:vAlign w:val="center"/>
          </w:tcPr>
          <w:p>
            <w:pPr>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是否达到预计效益</w:t>
            </w:r>
          </w:p>
        </w:tc>
        <w:tc>
          <w:tcPr>
            <w:tcW w:w="1404" w:type="dxa"/>
            <w:vAlign w:val="center"/>
          </w:tcPr>
          <w:p>
            <w:pPr>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变更后的项目可行性是否发生重大变化</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10" w:hRule="atLeast"/>
        </w:trPr>
        <w:tc>
          <w:tcPr>
            <w:tcW w:w="1526" w:type="dxa"/>
            <w:vAlign w:val="center"/>
          </w:tcPr>
          <w:p>
            <w:pPr>
              <w:spacing w:before="50" w:after="50"/>
              <w:jc w:val="left"/>
              <w:rPr>
                <w:rFonts w:hint="eastAsia" w:cs="宋体" w:asciiTheme="minorEastAsia" w:hAnsiTheme="minorEastAsia" w:eastAsiaTheme="minorEastAsia"/>
                <w:kern w:val="0"/>
                <w:sz w:val="18"/>
                <w:szCs w:val="18"/>
              </w:rPr>
            </w:pPr>
            <w:r>
              <w:rPr>
                <w:rFonts w:cs="宋体" w:asciiTheme="minorEastAsia" w:hAnsiTheme="minorEastAsia" w:eastAsiaTheme="minorEastAsia"/>
                <w:kern w:val="0"/>
                <w:sz w:val="18"/>
                <w:szCs w:val="18"/>
              </w:rPr>
              <w:t>“新一代智慧能源终端智能制造基地建设项目”</w:t>
            </w:r>
          </w:p>
          <w:p>
            <w:pPr>
              <w:ind w:right="420"/>
              <w:jc w:val="left"/>
              <w:rPr>
                <w:rFonts w:hint="eastAsia" w:asciiTheme="minorEastAsia" w:hAnsiTheme="minorEastAsia" w:eastAsiaTheme="minorEastAsia"/>
                <w:szCs w:val="21"/>
              </w:rPr>
            </w:pPr>
          </w:p>
        </w:tc>
        <w:tc>
          <w:tcPr>
            <w:tcW w:w="2268" w:type="dxa"/>
            <w:vAlign w:val="center"/>
          </w:tcPr>
          <w:p>
            <w:pPr>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“智能计量表具终端未来工厂建设项目”与“智慧城市先进计量产业研发中心建设项目</w:t>
            </w:r>
            <w:r>
              <w:rPr>
                <w:rFonts w:cs="宋体" w:asciiTheme="minorEastAsia" w:hAnsiTheme="minorEastAsia" w:eastAsiaTheme="minorEastAsia"/>
                <w:kern w:val="0"/>
                <w:sz w:val="18"/>
                <w:szCs w:val="18"/>
              </w:rPr>
              <w:t>”</w:t>
            </w:r>
          </w:p>
        </w:tc>
        <w:tc>
          <w:tcPr>
            <w:tcW w:w="992" w:type="dxa"/>
            <w:vAlign w:val="center"/>
          </w:tcPr>
          <w:p>
            <w:pPr>
              <w:widowControl/>
              <w:jc w:val="center"/>
              <w:textAlignment w:val="center"/>
              <w:rPr>
                <w:color w:val="000000"/>
                <w:sz w:val="18"/>
                <w:szCs w:val="18"/>
              </w:rPr>
            </w:pPr>
            <w:r>
              <w:rPr>
                <w:rFonts w:hint="eastAsia"/>
                <w:color w:val="000000"/>
                <w:sz w:val="18"/>
                <w:szCs w:val="18"/>
              </w:rPr>
              <w:t>19,858.37</w:t>
            </w:r>
          </w:p>
        </w:tc>
        <w:tc>
          <w:tcPr>
            <w:tcW w:w="1134" w:type="dxa"/>
            <w:vAlign w:val="center"/>
          </w:tcPr>
          <w:p>
            <w:pPr>
              <w:widowControl/>
              <w:jc w:val="center"/>
              <w:textAlignment w:val="center"/>
              <w:rPr>
                <w:color w:val="000000"/>
                <w:sz w:val="18"/>
                <w:szCs w:val="18"/>
              </w:rPr>
            </w:pPr>
            <w:r>
              <w:rPr>
                <w:color w:val="000000"/>
                <w:sz w:val="18"/>
                <w:szCs w:val="18"/>
              </w:rPr>
              <w:t>3,632</w:t>
            </w:r>
            <w:r>
              <w:rPr>
                <w:rFonts w:hint="eastAsia"/>
                <w:color w:val="000000"/>
                <w:sz w:val="18"/>
                <w:szCs w:val="18"/>
              </w:rPr>
              <w:t>.</w:t>
            </w:r>
            <w:r>
              <w:rPr>
                <w:color w:val="000000"/>
                <w:sz w:val="18"/>
                <w:szCs w:val="18"/>
              </w:rPr>
              <w:t>00</w:t>
            </w:r>
          </w:p>
        </w:tc>
        <w:tc>
          <w:tcPr>
            <w:tcW w:w="1243" w:type="dxa"/>
            <w:vAlign w:val="center"/>
          </w:tcPr>
          <w:p>
            <w:pPr>
              <w:widowControl/>
              <w:jc w:val="center"/>
              <w:textAlignment w:val="center"/>
              <w:rPr>
                <w:color w:val="000000"/>
                <w:sz w:val="18"/>
                <w:szCs w:val="18"/>
              </w:rPr>
            </w:pPr>
            <w:r>
              <w:rPr>
                <w:color w:val="000000"/>
                <w:sz w:val="18"/>
                <w:szCs w:val="18"/>
              </w:rPr>
              <w:t>3,632.00</w:t>
            </w:r>
          </w:p>
        </w:tc>
        <w:tc>
          <w:tcPr>
            <w:tcW w:w="1401" w:type="dxa"/>
            <w:vAlign w:val="center"/>
          </w:tcPr>
          <w:p>
            <w:pPr>
              <w:widowControl/>
              <w:jc w:val="center"/>
              <w:textAlignment w:val="center"/>
              <w:rPr>
                <w:color w:val="000000"/>
                <w:sz w:val="18"/>
                <w:szCs w:val="18"/>
              </w:rPr>
            </w:pPr>
            <w:r>
              <w:rPr>
                <w:rFonts w:hint="eastAsia"/>
                <w:color w:val="000000"/>
                <w:sz w:val="18"/>
                <w:szCs w:val="18"/>
              </w:rPr>
              <w:t>1</w:t>
            </w:r>
            <w:r>
              <w:rPr>
                <w:color w:val="000000"/>
                <w:sz w:val="18"/>
                <w:szCs w:val="18"/>
              </w:rPr>
              <w:t>8.29%</w:t>
            </w:r>
          </w:p>
        </w:tc>
        <w:tc>
          <w:tcPr>
            <w:tcW w:w="1750" w:type="dxa"/>
            <w:vAlign w:val="center"/>
          </w:tcPr>
          <w:p>
            <w:pPr>
              <w:widowControl/>
              <w:jc w:val="center"/>
              <w:textAlignment w:val="center"/>
              <w:rPr>
                <w:color w:val="000000"/>
                <w:sz w:val="18"/>
                <w:szCs w:val="18"/>
              </w:rPr>
            </w:pPr>
            <w:r>
              <w:rPr>
                <w:rFonts w:cs="宋体" w:asciiTheme="minorEastAsia" w:hAnsiTheme="minorEastAsia" w:eastAsiaTheme="minorEastAsia"/>
                <w:kern w:val="0"/>
                <w:sz w:val="18"/>
                <w:szCs w:val="18"/>
              </w:rPr>
              <w:t>2029年</w:t>
            </w:r>
            <w:r>
              <w:rPr>
                <w:rFonts w:hint="eastAsia" w:cs="宋体" w:asciiTheme="minorEastAsia" w:hAnsiTheme="minorEastAsia" w:eastAsiaTheme="minorEastAsia"/>
                <w:kern w:val="0"/>
                <w:sz w:val="18"/>
                <w:szCs w:val="18"/>
              </w:rPr>
              <w:t>6月1</w:t>
            </w:r>
            <w:r>
              <w:rPr>
                <w:rFonts w:cs="宋体" w:asciiTheme="minorEastAsia" w:hAnsiTheme="minorEastAsia" w:eastAsiaTheme="minorEastAsia"/>
                <w:kern w:val="0"/>
                <w:sz w:val="18"/>
                <w:szCs w:val="18"/>
              </w:rPr>
              <w:t>0日[注1]</w:t>
            </w:r>
          </w:p>
        </w:tc>
        <w:tc>
          <w:tcPr>
            <w:tcW w:w="1418" w:type="dxa"/>
            <w:vAlign w:val="center"/>
          </w:tcPr>
          <w:p>
            <w:pPr>
              <w:widowControl/>
              <w:jc w:val="center"/>
              <w:textAlignment w:val="center"/>
              <w:rPr>
                <w:color w:val="000000"/>
                <w:sz w:val="18"/>
                <w:szCs w:val="18"/>
              </w:rPr>
            </w:pPr>
            <w:r>
              <w:rPr>
                <w:rFonts w:cs="宋体" w:asciiTheme="minorEastAsia" w:hAnsiTheme="minorEastAsia" w:eastAsiaTheme="minorEastAsia"/>
                <w:kern w:val="0"/>
                <w:sz w:val="18"/>
                <w:szCs w:val="18"/>
              </w:rPr>
              <w:t>[注</w:t>
            </w: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w:t>
            </w:r>
          </w:p>
        </w:tc>
        <w:tc>
          <w:tcPr>
            <w:tcW w:w="1038" w:type="dxa"/>
            <w:vAlign w:val="center"/>
          </w:tcPr>
          <w:p>
            <w:pPr>
              <w:widowControl/>
              <w:jc w:val="center"/>
              <w:textAlignment w:val="center"/>
              <w:rPr>
                <w:color w:val="000000"/>
                <w:sz w:val="18"/>
                <w:szCs w:val="18"/>
              </w:rPr>
            </w:pPr>
            <w:r>
              <w:rPr>
                <w:rFonts w:cs="宋体" w:asciiTheme="minorEastAsia" w:hAnsiTheme="minorEastAsia" w:eastAsiaTheme="minorEastAsia"/>
                <w:kern w:val="0"/>
                <w:sz w:val="18"/>
                <w:szCs w:val="18"/>
              </w:rPr>
              <w:t>[注</w:t>
            </w: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w:t>
            </w:r>
          </w:p>
        </w:tc>
        <w:tc>
          <w:tcPr>
            <w:tcW w:w="1404" w:type="dxa"/>
            <w:vAlign w:val="center"/>
          </w:tcPr>
          <w:p>
            <w:pPr>
              <w:ind w:right="420"/>
              <w:jc w:val="center"/>
              <w:rPr>
                <w:rFonts w:hint="eastAsia" w:asciiTheme="minorEastAsia" w:hAnsiTheme="minorEastAsia" w:eastAsiaTheme="minorEastAsia"/>
                <w:szCs w:val="21"/>
              </w:rPr>
            </w:pPr>
            <w:r>
              <w:rPr>
                <w:rFonts w:hint="eastAsia" w:cs="宋体" w:asciiTheme="minorEastAsia" w:hAnsiTheme="minorEastAsia" w:eastAsiaTheme="minorEastAsia"/>
                <w:kern w:val="0"/>
                <w:sz w:val="18"/>
                <w:szCs w:val="18"/>
              </w:rPr>
              <w:t xml:space="preserve"> </w:t>
            </w:r>
            <w:r>
              <w:rPr>
                <w:rFonts w:cs="宋体" w:asciiTheme="minorEastAsia" w:hAnsiTheme="minorEastAsia" w:eastAsiaTheme="minorEastAsia"/>
                <w:kern w:val="0"/>
                <w:sz w:val="18"/>
                <w:szCs w:val="18"/>
              </w:rPr>
              <w:t xml:space="preserve"> </w:t>
            </w:r>
            <w:r>
              <w:rPr>
                <w:rFonts w:hint="eastAsia" w:cs="宋体" w:asciiTheme="minorEastAsia" w:hAnsiTheme="minorEastAsia" w:eastAsiaTheme="minorEastAsia"/>
                <w:kern w:val="0"/>
                <w:sz w:val="18"/>
                <w:szCs w:val="18"/>
              </w:rPr>
              <w:t>否</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526" w:type="dxa"/>
            <w:vAlign w:val="center"/>
          </w:tcPr>
          <w:p>
            <w:pPr>
              <w:ind w:right="420"/>
              <w:jc w:val="center"/>
              <w:rPr>
                <w:rFonts w:hint="eastAsia" w:asciiTheme="minorEastAsia" w:hAnsiTheme="minorEastAsia" w:eastAsiaTheme="minorEastAsia"/>
                <w:szCs w:val="21"/>
              </w:rPr>
            </w:pPr>
            <w:r>
              <w:rPr>
                <w:rFonts w:hint="eastAsia" w:cs="宋体" w:asciiTheme="minorEastAsia" w:hAnsiTheme="minorEastAsia" w:eastAsiaTheme="minorEastAsia"/>
                <w:kern w:val="0"/>
                <w:sz w:val="18"/>
                <w:szCs w:val="18"/>
              </w:rPr>
              <w:t>合计</w:t>
            </w:r>
          </w:p>
        </w:tc>
        <w:tc>
          <w:tcPr>
            <w:tcW w:w="2268" w:type="dxa"/>
            <w:vAlign w:val="center"/>
          </w:tcPr>
          <w:p>
            <w:pPr>
              <w:ind w:right="420"/>
              <w:jc w:val="center"/>
              <w:rPr>
                <w:rFonts w:hint="eastAsia" w:asciiTheme="minorEastAsia" w:hAnsiTheme="minorEastAsia" w:eastAsiaTheme="minorEastAsia"/>
                <w:szCs w:val="21"/>
              </w:rPr>
            </w:pPr>
            <w:r>
              <w:rPr>
                <w:rFonts w:asciiTheme="minorEastAsia" w:hAnsiTheme="minorEastAsia" w:eastAsiaTheme="minorEastAsia"/>
                <w:szCs w:val="21"/>
              </w:rPr>
              <w:t xml:space="preserve">    </w:t>
            </w:r>
            <w:r>
              <w:rPr>
                <w:rFonts w:hint="eastAsia" w:asciiTheme="minorEastAsia" w:hAnsiTheme="minorEastAsia" w:eastAsiaTheme="minorEastAsia"/>
                <w:szCs w:val="21"/>
              </w:rPr>
              <w:t>-</w:t>
            </w:r>
          </w:p>
        </w:tc>
        <w:tc>
          <w:tcPr>
            <w:tcW w:w="992" w:type="dxa"/>
            <w:vAlign w:val="center"/>
          </w:tcPr>
          <w:p>
            <w:pPr>
              <w:widowControl/>
              <w:jc w:val="center"/>
              <w:textAlignment w:val="center"/>
              <w:rPr>
                <w:color w:val="000000"/>
                <w:sz w:val="18"/>
                <w:szCs w:val="18"/>
              </w:rPr>
            </w:pPr>
            <w:r>
              <w:rPr>
                <w:rFonts w:hint="eastAsia"/>
                <w:color w:val="000000"/>
                <w:sz w:val="18"/>
                <w:szCs w:val="18"/>
              </w:rPr>
              <w:t>19,858.37</w:t>
            </w:r>
          </w:p>
        </w:tc>
        <w:tc>
          <w:tcPr>
            <w:tcW w:w="1134" w:type="dxa"/>
            <w:vAlign w:val="center"/>
          </w:tcPr>
          <w:p>
            <w:pPr>
              <w:widowControl/>
              <w:jc w:val="center"/>
              <w:textAlignment w:val="center"/>
              <w:rPr>
                <w:color w:val="000000"/>
                <w:sz w:val="18"/>
                <w:szCs w:val="18"/>
              </w:rPr>
            </w:pPr>
            <w:r>
              <w:rPr>
                <w:color w:val="000000"/>
                <w:sz w:val="18"/>
                <w:szCs w:val="18"/>
              </w:rPr>
              <w:t>3,632</w:t>
            </w:r>
            <w:r>
              <w:rPr>
                <w:rFonts w:hint="eastAsia"/>
                <w:color w:val="000000"/>
                <w:sz w:val="18"/>
                <w:szCs w:val="18"/>
              </w:rPr>
              <w:t>.</w:t>
            </w:r>
            <w:r>
              <w:rPr>
                <w:color w:val="000000"/>
                <w:sz w:val="18"/>
                <w:szCs w:val="18"/>
              </w:rPr>
              <w:t>00</w:t>
            </w:r>
          </w:p>
        </w:tc>
        <w:tc>
          <w:tcPr>
            <w:tcW w:w="1243" w:type="dxa"/>
            <w:vAlign w:val="center"/>
          </w:tcPr>
          <w:p>
            <w:pPr>
              <w:widowControl/>
              <w:jc w:val="center"/>
              <w:textAlignment w:val="center"/>
              <w:rPr>
                <w:color w:val="000000"/>
                <w:sz w:val="18"/>
                <w:szCs w:val="18"/>
              </w:rPr>
            </w:pPr>
            <w:r>
              <w:rPr>
                <w:color w:val="000000"/>
                <w:sz w:val="18"/>
                <w:szCs w:val="18"/>
              </w:rPr>
              <w:t>3,632.00</w:t>
            </w:r>
          </w:p>
        </w:tc>
        <w:tc>
          <w:tcPr>
            <w:tcW w:w="1401" w:type="dxa"/>
            <w:vAlign w:val="center"/>
          </w:tcPr>
          <w:p>
            <w:pPr>
              <w:widowControl/>
              <w:jc w:val="center"/>
              <w:textAlignment w:val="center"/>
              <w:rPr>
                <w:color w:val="000000"/>
                <w:sz w:val="18"/>
                <w:szCs w:val="18"/>
              </w:rPr>
            </w:pPr>
            <w:r>
              <w:rPr>
                <w:rFonts w:hint="eastAsia"/>
                <w:color w:val="000000"/>
                <w:sz w:val="18"/>
                <w:szCs w:val="18"/>
              </w:rPr>
              <w:t>1</w:t>
            </w:r>
            <w:r>
              <w:rPr>
                <w:color w:val="000000"/>
                <w:sz w:val="18"/>
                <w:szCs w:val="18"/>
              </w:rPr>
              <w:t>8.29%</w:t>
            </w:r>
          </w:p>
        </w:tc>
        <w:tc>
          <w:tcPr>
            <w:tcW w:w="1750" w:type="dxa"/>
            <w:vAlign w:val="center"/>
          </w:tcPr>
          <w:p>
            <w:pPr>
              <w:widowControl/>
              <w:jc w:val="center"/>
              <w:textAlignment w:val="center"/>
              <w:rPr>
                <w:color w:val="000000"/>
                <w:sz w:val="18"/>
                <w:szCs w:val="18"/>
              </w:rPr>
            </w:pPr>
          </w:p>
        </w:tc>
        <w:tc>
          <w:tcPr>
            <w:tcW w:w="1418" w:type="dxa"/>
            <w:vAlign w:val="center"/>
          </w:tcPr>
          <w:p>
            <w:pPr>
              <w:widowControl/>
              <w:jc w:val="center"/>
              <w:textAlignment w:val="center"/>
              <w:rPr>
                <w:color w:val="000000"/>
                <w:sz w:val="18"/>
                <w:szCs w:val="18"/>
              </w:rPr>
            </w:pPr>
          </w:p>
        </w:tc>
        <w:tc>
          <w:tcPr>
            <w:tcW w:w="1038" w:type="dxa"/>
            <w:vAlign w:val="center"/>
          </w:tcPr>
          <w:p>
            <w:pPr>
              <w:widowControl/>
              <w:jc w:val="center"/>
              <w:textAlignment w:val="center"/>
              <w:rPr>
                <w:rFonts w:hint="eastAsia" w:asciiTheme="minorEastAsia" w:hAnsiTheme="minorEastAsia" w:eastAsiaTheme="minorEastAsia"/>
                <w:szCs w:val="21"/>
              </w:rPr>
            </w:pPr>
          </w:p>
        </w:tc>
        <w:tc>
          <w:tcPr>
            <w:tcW w:w="1404" w:type="dxa"/>
            <w:vAlign w:val="center"/>
          </w:tcPr>
          <w:p>
            <w:pPr>
              <w:ind w:right="420"/>
              <w:jc w:val="center"/>
              <w:rPr>
                <w:rFonts w:hint="eastAsia" w:asciiTheme="minorEastAsia" w:hAnsiTheme="minorEastAsia" w:eastAsiaTheme="minorEastAsia"/>
                <w:szCs w:val="21"/>
              </w:rPr>
            </w:pPr>
            <w:r>
              <w:rPr>
                <w:rFonts w:cs="宋体" w:asciiTheme="minorEastAsia" w:hAnsiTheme="minorEastAsia" w:eastAsiaTheme="minorEastAsia"/>
                <w:kern w:val="0"/>
                <w:sz w:val="18"/>
                <w:szCs w:val="18"/>
              </w:rPr>
              <w:t xml:space="preserve">  </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786" w:type="dxa"/>
            <w:gridSpan w:val="3"/>
            <w:vAlign w:val="center"/>
          </w:tcPr>
          <w:p>
            <w:pPr>
              <w:jc w:val="left"/>
              <w:rPr>
                <w:rFonts w:hint="eastAsia" w:asciiTheme="minorEastAsia" w:hAnsiTheme="minorEastAsia" w:eastAsiaTheme="minorEastAsia"/>
                <w:szCs w:val="21"/>
              </w:rPr>
            </w:pPr>
            <w:r>
              <w:rPr>
                <w:rFonts w:cs="宋体" w:asciiTheme="minorEastAsia" w:hAnsiTheme="minorEastAsia" w:eastAsiaTheme="minorEastAsia"/>
                <w:kern w:val="0"/>
                <w:sz w:val="18"/>
                <w:szCs w:val="18"/>
              </w:rPr>
              <w:t>变更原因、决策程序及信息披露情况说明(分具体项目)</w:t>
            </w:r>
          </w:p>
        </w:tc>
        <w:tc>
          <w:tcPr>
            <w:tcW w:w="9388" w:type="dxa"/>
            <w:gridSpan w:val="7"/>
            <w:vAlign w:val="center"/>
          </w:tcPr>
          <w:p>
            <w:pPr>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w:t>
            </w:r>
            <w:r>
              <w:rPr>
                <w:rFonts w:cs="宋体" w:asciiTheme="minorEastAsia" w:hAnsiTheme="minorEastAsia" w:eastAsiaTheme="minorEastAsia"/>
                <w:kern w:val="0"/>
                <w:sz w:val="18"/>
                <w:szCs w:val="18"/>
              </w:rPr>
              <w:t>新一代智慧能源终端智能制造基地建设项目</w:t>
            </w:r>
          </w:p>
          <w:p>
            <w:pPr>
              <w:jc w:val="left"/>
              <w:rPr>
                <w:rFonts w:hint="eastAsia" w:asciiTheme="minorEastAsia" w:hAnsiTheme="minorEastAsia" w:eastAsiaTheme="minorEastAsia"/>
                <w:szCs w:val="21"/>
              </w:rPr>
            </w:pPr>
            <w:r>
              <w:rPr>
                <w:rFonts w:cs="宋体" w:asciiTheme="minorEastAsia" w:hAnsiTheme="minorEastAsia" w:eastAsiaTheme="minorEastAsia"/>
                <w:kern w:val="0"/>
                <w:sz w:val="18"/>
                <w:szCs w:val="18"/>
              </w:rPr>
              <w:t>为进一步提高募集资金的使用效率，公司对原募投项目进行变更，增加投资规模用于建设新的生产基地，提高市场竞争力。</w:t>
            </w:r>
            <w:r>
              <w:rPr>
                <w:rFonts w:hint="eastAsia" w:cs="宋体" w:asciiTheme="minorEastAsia" w:hAnsiTheme="minorEastAsia" w:eastAsiaTheme="minorEastAsia"/>
                <w:kern w:val="0"/>
                <w:sz w:val="18"/>
                <w:szCs w:val="18"/>
              </w:rPr>
              <w:t>公司于2</w:t>
            </w:r>
            <w:r>
              <w:rPr>
                <w:rFonts w:cs="宋体" w:asciiTheme="minorEastAsia" w:hAnsiTheme="minorEastAsia" w:eastAsiaTheme="minorEastAsia"/>
                <w:kern w:val="0"/>
                <w:sz w:val="18"/>
                <w:szCs w:val="18"/>
              </w:rPr>
              <w:t>026年</w:t>
            </w:r>
            <w:r>
              <w:rPr>
                <w:rFonts w:hint="eastAsia" w:cs="宋体" w:asciiTheme="minorEastAsia" w:hAnsiTheme="minorEastAsia" w:eastAsiaTheme="minorEastAsia"/>
                <w:kern w:val="0"/>
                <w:sz w:val="18"/>
                <w:szCs w:val="18"/>
              </w:rPr>
              <w:t>5月2</w:t>
            </w:r>
            <w:r>
              <w:rPr>
                <w:rFonts w:cs="宋体" w:asciiTheme="minorEastAsia" w:hAnsiTheme="minorEastAsia" w:eastAsiaTheme="minorEastAsia"/>
                <w:kern w:val="0"/>
                <w:sz w:val="18"/>
                <w:szCs w:val="18"/>
              </w:rPr>
              <w:t>5日</w:t>
            </w:r>
            <w:r>
              <w:rPr>
                <w:rFonts w:hint="eastAsia" w:cs="宋体" w:asciiTheme="minorEastAsia" w:hAnsiTheme="minorEastAsia" w:eastAsiaTheme="minorEastAsia"/>
                <w:kern w:val="0"/>
                <w:sz w:val="18"/>
                <w:szCs w:val="18"/>
              </w:rPr>
              <w:t>召开第六届董事会第七次会议、2</w:t>
            </w:r>
            <w:r>
              <w:rPr>
                <w:rFonts w:cs="宋体" w:asciiTheme="minorEastAsia" w:hAnsiTheme="minorEastAsia" w:eastAsiaTheme="minorEastAsia"/>
                <w:kern w:val="0"/>
                <w:sz w:val="18"/>
                <w:szCs w:val="18"/>
              </w:rPr>
              <w:t>026年第六届董事审计委员会第二次会议以及</w:t>
            </w: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026年第六届独立董事专门会议第二次会议，</w:t>
            </w:r>
            <w:r>
              <w:rPr>
                <w:rFonts w:hint="eastAsia" w:cs="宋体" w:asciiTheme="minorEastAsia" w:hAnsiTheme="minorEastAsia" w:eastAsiaTheme="minorEastAsia"/>
                <w:kern w:val="0"/>
                <w:sz w:val="18"/>
                <w:szCs w:val="18"/>
              </w:rPr>
              <w:t>并于2</w:t>
            </w:r>
            <w:r>
              <w:rPr>
                <w:rFonts w:cs="宋体" w:asciiTheme="minorEastAsia" w:hAnsiTheme="minorEastAsia" w:eastAsiaTheme="minorEastAsia"/>
                <w:kern w:val="0"/>
                <w:sz w:val="18"/>
                <w:szCs w:val="18"/>
              </w:rPr>
              <w:t>026年</w:t>
            </w:r>
            <w:r>
              <w:rPr>
                <w:rFonts w:hint="eastAsia" w:cs="宋体" w:asciiTheme="minorEastAsia" w:hAnsiTheme="minorEastAsia" w:eastAsiaTheme="minorEastAsia"/>
                <w:kern w:val="0"/>
                <w:sz w:val="18"/>
                <w:szCs w:val="18"/>
              </w:rPr>
              <w:t>6月1</w:t>
            </w:r>
            <w:r>
              <w:rPr>
                <w:rFonts w:cs="宋体" w:asciiTheme="minorEastAsia" w:hAnsiTheme="minorEastAsia" w:eastAsiaTheme="minorEastAsia"/>
                <w:kern w:val="0"/>
                <w:sz w:val="18"/>
                <w:szCs w:val="18"/>
              </w:rPr>
              <w:t>0日召开</w:t>
            </w: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026年第二次临时股东会，审议通过了《关于变更部分募集资金用途的议案》</w:t>
            </w:r>
            <w:r>
              <w:rPr>
                <w:rFonts w:hint="eastAsia" w:cs="宋体" w:asciiTheme="minorEastAsia" w:hAnsiTheme="minorEastAsia" w:eastAsiaTheme="minorEastAsia"/>
                <w:kern w:val="0"/>
                <w:sz w:val="18"/>
                <w:szCs w:val="18"/>
              </w:rPr>
              <w:t>，同意公司将原募投项目</w:t>
            </w:r>
            <w:r>
              <w:rPr>
                <w:rFonts w:cs="宋体" w:asciiTheme="minorEastAsia" w:hAnsiTheme="minorEastAsia" w:eastAsiaTheme="minorEastAsia"/>
                <w:kern w:val="0"/>
                <w:sz w:val="18"/>
                <w:szCs w:val="18"/>
              </w:rPr>
              <w:t>“智能计量表具终端未来工厂建设项目”和“智慧城市先进计量及系统产业研发中心建设项目”变更为“新一代智慧能源终端智能制造基地建设项目”。具体内容详见公司</w:t>
            </w: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026年</w:t>
            </w:r>
            <w:r>
              <w:rPr>
                <w:rFonts w:hint="eastAsia" w:cs="宋体" w:asciiTheme="minorEastAsia" w:hAnsiTheme="minorEastAsia" w:eastAsiaTheme="minorEastAsia"/>
                <w:kern w:val="0"/>
                <w:sz w:val="18"/>
                <w:szCs w:val="18"/>
              </w:rPr>
              <w:t>5月2</w:t>
            </w:r>
            <w:r>
              <w:rPr>
                <w:rFonts w:cs="宋体" w:asciiTheme="minorEastAsia" w:hAnsiTheme="minorEastAsia" w:eastAsiaTheme="minorEastAsia"/>
                <w:kern w:val="0"/>
                <w:sz w:val="18"/>
                <w:szCs w:val="18"/>
              </w:rPr>
              <w:t>6日披露的《</w:t>
            </w:r>
            <w:r>
              <w:rPr>
                <w:rFonts w:hint="eastAsia" w:cs="宋体" w:asciiTheme="minorEastAsia" w:hAnsiTheme="minorEastAsia" w:eastAsiaTheme="minorEastAsia"/>
                <w:kern w:val="0"/>
                <w:sz w:val="18"/>
                <w:szCs w:val="18"/>
              </w:rPr>
              <w:t>关于变更部分募集资金用途、变更部分募集资金专户及使用募集资金向全资下属公司增资以实施募投项目的公告》（公告编号：2</w:t>
            </w:r>
            <w:r>
              <w:rPr>
                <w:rFonts w:cs="宋体" w:asciiTheme="minorEastAsia" w:hAnsiTheme="minorEastAsia" w:eastAsiaTheme="minorEastAsia"/>
                <w:kern w:val="0"/>
                <w:sz w:val="18"/>
                <w:szCs w:val="18"/>
              </w:rPr>
              <w:t>026-037）。</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66" w:hRule="atLeast"/>
        </w:trPr>
        <w:tc>
          <w:tcPr>
            <w:tcW w:w="4786" w:type="dxa"/>
            <w:gridSpan w:val="3"/>
            <w:vAlign w:val="center"/>
          </w:tcPr>
          <w:p>
            <w:pPr>
              <w:jc w:val="left"/>
              <w:rPr>
                <w:rFonts w:hint="eastAsia" w:asciiTheme="minorEastAsia" w:hAnsiTheme="minorEastAsia" w:eastAsiaTheme="minorEastAsia"/>
                <w:szCs w:val="21"/>
              </w:rPr>
            </w:pPr>
            <w:r>
              <w:rPr>
                <w:rFonts w:cs="宋体" w:asciiTheme="minorEastAsia" w:hAnsiTheme="minorEastAsia" w:eastAsiaTheme="minorEastAsia"/>
                <w:kern w:val="0"/>
                <w:sz w:val="18"/>
                <w:szCs w:val="18"/>
              </w:rPr>
              <w:t>未达到计划进度或预计收益的情况和原因(分具体项目)</w:t>
            </w:r>
          </w:p>
        </w:tc>
        <w:tc>
          <w:tcPr>
            <w:tcW w:w="9388" w:type="dxa"/>
            <w:gridSpan w:val="7"/>
            <w:vAlign w:val="center"/>
          </w:tcPr>
          <w:p>
            <w:pPr>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w:t>
            </w:r>
            <w:r>
              <w:rPr>
                <w:rFonts w:cs="宋体" w:asciiTheme="minorEastAsia" w:hAnsiTheme="minorEastAsia" w:eastAsiaTheme="minorEastAsia"/>
                <w:kern w:val="0"/>
                <w:sz w:val="18"/>
                <w:szCs w:val="18"/>
              </w:rPr>
              <w:t>新一代智慧能源终端智能制造基地建设项目</w:t>
            </w:r>
          </w:p>
          <w:p>
            <w:pPr>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新变更项目，尚在建设期间，不适用。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786" w:type="dxa"/>
            <w:gridSpan w:val="3"/>
            <w:vAlign w:val="center"/>
          </w:tcPr>
          <w:p>
            <w:pPr>
              <w:jc w:val="left"/>
              <w:rPr>
                <w:rFonts w:hint="eastAsia" w:asciiTheme="minorEastAsia" w:hAnsiTheme="minorEastAsia" w:eastAsiaTheme="minorEastAsia"/>
                <w:szCs w:val="21"/>
              </w:rPr>
            </w:pPr>
            <w:r>
              <w:rPr>
                <w:rFonts w:cs="宋体" w:asciiTheme="minorEastAsia" w:hAnsiTheme="minorEastAsia" w:eastAsiaTheme="minorEastAsia"/>
                <w:kern w:val="0"/>
                <w:sz w:val="18"/>
                <w:szCs w:val="18"/>
              </w:rPr>
              <w:t>变更后的项目可行性发生重大变化的情况说明</w:t>
            </w:r>
          </w:p>
        </w:tc>
        <w:tc>
          <w:tcPr>
            <w:tcW w:w="9388" w:type="dxa"/>
            <w:gridSpan w:val="7"/>
            <w:vAlign w:val="center"/>
          </w:tcPr>
          <w:p>
            <w:pPr>
              <w:spacing w:line="72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不适用。</w:t>
            </w:r>
          </w:p>
        </w:tc>
      </w:tr>
    </w:tbl>
    <w:p>
      <w:pPr>
        <w:jc w:val="left"/>
        <w:rPr>
          <w:rFonts w:hint="eastAsia" w:cs="宋体" w:asciiTheme="minorEastAsia" w:hAnsiTheme="minorEastAsia" w:eastAsiaTheme="minorEastAsia"/>
          <w:kern w:val="0"/>
          <w:sz w:val="18"/>
          <w:szCs w:val="18"/>
        </w:rPr>
      </w:pPr>
      <w:r>
        <w:rPr>
          <w:rFonts w:cs="宋体" w:asciiTheme="minorEastAsia" w:hAnsiTheme="minorEastAsia" w:eastAsiaTheme="minorEastAsia"/>
          <w:kern w:val="0"/>
          <w:sz w:val="18"/>
          <w:szCs w:val="18"/>
        </w:rPr>
        <w:t>[注</w:t>
      </w:r>
      <w:r>
        <w:rPr>
          <w:rFonts w:hint="eastAsia" w:cs="宋体" w:asciiTheme="minorEastAsia" w:hAnsiTheme="minorEastAsia" w:eastAsiaTheme="minorEastAsia"/>
          <w:kern w:val="0"/>
          <w:sz w:val="18"/>
          <w:szCs w:val="18"/>
        </w:rPr>
        <w:t>1</w:t>
      </w:r>
      <w:r>
        <w:rPr>
          <w:rFonts w:cs="宋体" w:asciiTheme="minorEastAsia" w:hAnsiTheme="minorEastAsia" w:eastAsiaTheme="minorEastAsia"/>
          <w:kern w:val="0"/>
          <w:sz w:val="18"/>
          <w:szCs w:val="18"/>
        </w:rPr>
        <w:t>]</w:t>
      </w:r>
      <w:r>
        <w:rPr>
          <w:rFonts w:hint="eastAsia" w:cs="宋体" w:asciiTheme="minorEastAsia" w:hAnsiTheme="minorEastAsia" w:eastAsiaTheme="minorEastAsia"/>
          <w:kern w:val="0"/>
          <w:sz w:val="18"/>
          <w:szCs w:val="18"/>
        </w:rPr>
        <w:t xml:space="preserve"> 公司于2</w:t>
      </w:r>
      <w:r>
        <w:rPr>
          <w:rFonts w:cs="宋体" w:asciiTheme="minorEastAsia" w:hAnsiTheme="minorEastAsia" w:eastAsiaTheme="minorEastAsia"/>
          <w:kern w:val="0"/>
          <w:sz w:val="18"/>
          <w:szCs w:val="18"/>
        </w:rPr>
        <w:t>026年5</w:t>
      </w:r>
      <w:r>
        <w:rPr>
          <w:rFonts w:hint="eastAsia" w:cs="宋体" w:asciiTheme="minorEastAsia" w:hAnsiTheme="minorEastAsia" w:eastAsiaTheme="minorEastAsia"/>
          <w:kern w:val="0"/>
          <w:sz w:val="18"/>
          <w:szCs w:val="18"/>
        </w:rPr>
        <w:t>月</w:t>
      </w:r>
      <w:r>
        <w:rPr>
          <w:rFonts w:cs="宋体" w:asciiTheme="minorEastAsia" w:hAnsiTheme="minorEastAsia" w:eastAsiaTheme="minorEastAsia"/>
          <w:kern w:val="0"/>
          <w:sz w:val="18"/>
          <w:szCs w:val="18"/>
        </w:rPr>
        <w:t>25日召开第六届董事会第七次会议、第六届董事会审计委员会第二次会议，并于</w:t>
      </w: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026年</w:t>
      </w:r>
      <w:r>
        <w:rPr>
          <w:rFonts w:hint="eastAsia" w:cs="宋体" w:asciiTheme="minorEastAsia" w:hAnsiTheme="minorEastAsia" w:eastAsiaTheme="minorEastAsia"/>
          <w:kern w:val="0"/>
          <w:sz w:val="18"/>
          <w:szCs w:val="18"/>
        </w:rPr>
        <w:t>6月1</w:t>
      </w:r>
      <w:r>
        <w:rPr>
          <w:rFonts w:cs="宋体" w:asciiTheme="minorEastAsia" w:hAnsiTheme="minorEastAsia" w:eastAsiaTheme="minorEastAsia"/>
          <w:kern w:val="0"/>
          <w:sz w:val="18"/>
          <w:szCs w:val="18"/>
        </w:rPr>
        <w:t>0日召开</w:t>
      </w: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026年第二次临时股东会，审议通过了《关于变更部分募集资金用途的议案》。公司结合新募投项目的基本情况和投资计划、项目建设的可行性及项目面临的风险，预计“新一代智慧能源终端智能制造基地建设项目”达到预定可使用状态的时间为</w:t>
      </w: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029年</w:t>
      </w:r>
      <w:r>
        <w:rPr>
          <w:rFonts w:hint="eastAsia" w:cs="宋体" w:asciiTheme="minorEastAsia" w:hAnsiTheme="minorEastAsia" w:eastAsiaTheme="minorEastAsia"/>
          <w:kern w:val="0"/>
          <w:sz w:val="18"/>
          <w:szCs w:val="18"/>
        </w:rPr>
        <w:t>6月1</w:t>
      </w:r>
      <w:r>
        <w:rPr>
          <w:rFonts w:cs="宋体" w:asciiTheme="minorEastAsia" w:hAnsiTheme="minorEastAsia" w:eastAsiaTheme="minorEastAsia"/>
          <w:kern w:val="0"/>
          <w:sz w:val="18"/>
          <w:szCs w:val="18"/>
        </w:rPr>
        <w:t>0日，即自2026年第二次临时股东会审议通过之日起</w:t>
      </w:r>
      <w:r>
        <w:rPr>
          <w:rFonts w:hint="eastAsia" w:cs="宋体" w:asciiTheme="minorEastAsia" w:hAnsiTheme="minorEastAsia" w:eastAsiaTheme="minorEastAsia"/>
          <w:kern w:val="0"/>
          <w:sz w:val="18"/>
          <w:szCs w:val="18"/>
        </w:rPr>
        <w:t>3年。</w:t>
      </w:r>
    </w:p>
    <w:p>
      <w:pPr>
        <w:jc w:val="left"/>
        <w:rPr>
          <w:rFonts w:hint="eastAsia" w:cs="宋体" w:asciiTheme="minorEastAsia" w:hAnsiTheme="minorEastAsia" w:eastAsiaTheme="minorEastAsia"/>
          <w:kern w:val="0"/>
          <w:sz w:val="18"/>
          <w:szCs w:val="18"/>
        </w:rPr>
      </w:pPr>
      <w:r>
        <w:rPr>
          <w:rFonts w:cs="宋体" w:asciiTheme="minorEastAsia" w:hAnsiTheme="minorEastAsia" w:eastAsiaTheme="minorEastAsia"/>
          <w:kern w:val="0"/>
          <w:sz w:val="18"/>
          <w:szCs w:val="18"/>
        </w:rPr>
        <w:t>[注</w:t>
      </w: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w:t>
      </w:r>
      <w:r>
        <w:rPr>
          <w:rFonts w:hint="eastAsia" w:cs="宋体" w:asciiTheme="minorEastAsia" w:hAnsiTheme="minorEastAsia" w:eastAsiaTheme="minorEastAsia"/>
          <w:kern w:val="0"/>
          <w:sz w:val="18"/>
          <w:szCs w:val="18"/>
        </w:rPr>
        <w:t xml:space="preserve"> “</w:t>
      </w:r>
      <w:r>
        <w:rPr>
          <w:rFonts w:cs="宋体" w:asciiTheme="minorEastAsia" w:hAnsiTheme="minorEastAsia" w:eastAsiaTheme="minorEastAsia"/>
          <w:kern w:val="0"/>
          <w:sz w:val="18"/>
          <w:szCs w:val="18"/>
        </w:rPr>
        <w:t>新一代智慧能源终端智能制造基地建设项目”</w:t>
      </w:r>
      <w:r>
        <w:rPr>
          <w:rFonts w:hint="eastAsia" w:cs="宋体" w:asciiTheme="minorEastAsia" w:hAnsiTheme="minorEastAsia" w:eastAsiaTheme="minorEastAsia"/>
          <w:kern w:val="0"/>
          <w:sz w:val="18"/>
          <w:szCs w:val="18"/>
        </w:rPr>
        <w:t>尚处实施阶段，尚未产生效益。</w:t>
      </w:r>
    </w:p>
    <w:p>
      <w:pPr>
        <w:ind w:right="420"/>
        <w:jc w:val="left"/>
        <w:rPr>
          <w:rFonts w:hint="eastAsia" w:asciiTheme="minorEastAsia" w:hAnsiTheme="minorEastAsia" w:eastAsiaTheme="minorEastAsia"/>
          <w:szCs w:val="21"/>
        </w:rPr>
      </w:pPr>
    </w:p>
    <w:sectPr>
      <w:pgSz w:w="16838" w:h="11906" w:orient="landscape"/>
      <w:pgMar w:top="1701" w:right="1440" w:bottom="1701" w:left="1440"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rPr>
        <w:rFonts w:hint="eastAsia" w:ascii="宋体" w:hAnsi="宋体"/>
      </w:rPr>
    </w:pPr>
    <w:r>
      <w:rPr>
        <w:rStyle w:val="11"/>
        <w:rFonts w:hint="eastAsia" w:ascii="宋体" w:hAnsi="宋体"/>
      </w:rPr>
      <w:t xml:space="preserve">第 </w:t>
    </w:r>
    <w:r>
      <w:rPr>
        <w:rStyle w:val="11"/>
        <w:rFonts w:ascii="宋体" w:hAnsi="宋体"/>
      </w:rPr>
      <w:fldChar w:fldCharType="begin"/>
    </w:r>
    <w:r>
      <w:rPr>
        <w:rStyle w:val="11"/>
        <w:rFonts w:ascii="宋体" w:hAnsi="宋体"/>
      </w:rPr>
      <w:instrText xml:space="preserve">PAGE   \* MERGEFORMAT</w:instrText>
    </w:r>
    <w:r>
      <w:rPr>
        <w:rStyle w:val="11"/>
        <w:rFonts w:ascii="宋体" w:hAnsi="宋体"/>
      </w:rPr>
      <w:fldChar w:fldCharType="separate"/>
    </w:r>
    <w:r>
      <w:rPr>
        <w:rStyle w:val="11"/>
        <w:rFonts w:ascii="宋体" w:hAnsi="宋体"/>
        <w:lang w:val="zh-CN"/>
      </w:rPr>
      <w:t>7</w:t>
    </w:r>
    <w:r>
      <w:rPr>
        <w:rStyle w:val="11"/>
        <w:rFonts w:ascii="宋体" w:hAnsi="宋体"/>
      </w:rPr>
      <w:fldChar w:fldCharType="end"/>
    </w:r>
    <w:r>
      <w:rPr>
        <w:rStyle w:val="11"/>
        <w:rFonts w:hint="eastAsia" w:ascii="宋体" w:hAnsi="宋体"/>
      </w:rPr>
      <w:t xml:space="preserve"> 页 共</w:t>
    </w:r>
    <w:r>
      <w:rPr>
        <w:rStyle w:val="11"/>
        <w:rFonts w:ascii="宋体" w:hAnsi="宋体"/>
      </w:rPr>
      <w:t>12</w:t>
    </w:r>
    <w:r>
      <w:rPr>
        <w:rStyle w:val="11"/>
        <w:rFonts w:hint="eastAsia" w:ascii="宋体" w:hAnsi="宋体"/>
      </w:rPr>
      <w:t xml:space="preserve"> 页</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1456CD"/>
    <w:multiLevelType w:val="singleLevel"/>
    <w:tmpl w:val="C71456CD"/>
    <w:lvl w:ilvl="0" w:tentative="0">
      <w:start w:val="2"/>
      <w:numFmt w:val="chineseCounting"/>
      <w:suff w:val="space"/>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k1MzkyY2YyZGZmNzBiM2EwYWY3OTJiM2I1N2FkYmEifQ=="/>
    <w:docVar w:name="KSO_WPS_MARK_KEY" w:val="5a56d944-dac3-47ca-bf33-8ebf786604e5"/>
  </w:docVars>
  <w:rsids>
    <w:rsidRoot w:val="003A3C3E"/>
    <w:rsid w:val="000021C1"/>
    <w:rsid w:val="00003601"/>
    <w:rsid w:val="00003A18"/>
    <w:rsid w:val="00003D26"/>
    <w:rsid w:val="00003DF5"/>
    <w:rsid w:val="00005C62"/>
    <w:rsid w:val="00010075"/>
    <w:rsid w:val="000128BE"/>
    <w:rsid w:val="000156F5"/>
    <w:rsid w:val="00017D43"/>
    <w:rsid w:val="000208E8"/>
    <w:rsid w:val="000257E8"/>
    <w:rsid w:val="0003081E"/>
    <w:rsid w:val="00034110"/>
    <w:rsid w:val="000405E5"/>
    <w:rsid w:val="000412AE"/>
    <w:rsid w:val="00044384"/>
    <w:rsid w:val="00044769"/>
    <w:rsid w:val="0004609E"/>
    <w:rsid w:val="00051553"/>
    <w:rsid w:val="000549EE"/>
    <w:rsid w:val="000576E5"/>
    <w:rsid w:val="00060585"/>
    <w:rsid w:val="0006187B"/>
    <w:rsid w:val="0006313D"/>
    <w:rsid w:val="0006661B"/>
    <w:rsid w:val="000724F0"/>
    <w:rsid w:val="00072B86"/>
    <w:rsid w:val="00072E11"/>
    <w:rsid w:val="00073B77"/>
    <w:rsid w:val="0007514D"/>
    <w:rsid w:val="00076E5E"/>
    <w:rsid w:val="0007705E"/>
    <w:rsid w:val="00077E11"/>
    <w:rsid w:val="00086F23"/>
    <w:rsid w:val="00091C83"/>
    <w:rsid w:val="0009500E"/>
    <w:rsid w:val="00096FB7"/>
    <w:rsid w:val="000A12B4"/>
    <w:rsid w:val="000A45DD"/>
    <w:rsid w:val="000A562E"/>
    <w:rsid w:val="000A6A33"/>
    <w:rsid w:val="000A71CA"/>
    <w:rsid w:val="000A7478"/>
    <w:rsid w:val="000A7700"/>
    <w:rsid w:val="000B06DE"/>
    <w:rsid w:val="000B0796"/>
    <w:rsid w:val="000B22A1"/>
    <w:rsid w:val="000B4B22"/>
    <w:rsid w:val="000B7ACA"/>
    <w:rsid w:val="000C0EFE"/>
    <w:rsid w:val="000C121C"/>
    <w:rsid w:val="000C2AC6"/>
    <w:rsid w:val="000C39A2"/>
    <w:rsid w:val="000C3FB9"/>
    <w:rsid w:val="000C5EBE"/>
    <w:rsid w:val="000D2228"/>
    <w:rsid w:val="000E000E"/>
    <w:rsid w:val="000E0291"/>
    <w:rsid w:val="000E1D48"/>
    <w:rsid w:val="000E22CA"/>
    <w:rsid w:val="000E69BE"/>
    <w:rsid w:val="000E7B8A"/>
    <w:rsid w:val="000F19B5"/>
    <w:rsid w:val="000F4003"/>
    <w:rsid w:val="000F5019"/>
    <w:rsid w:val="000F7F01"/>
    <w:rsid w:val="00100C4F"/>
    <w:rsid w:val="00101F02"/>
    <w:rsid w:val="001022E5"/>
    <w:rsid w:val="00104C10"/>
    <w:rsid w:val="00104FC5"/>
    <w:rsid w:val="001061C7"/>
    <w:rsid w:val="00117268"/>
    <w:rsid w:val="001238A0"/>
    <w:rsid w:val="0012399F"/>
    <w:rsid w:val="00125C68"/>
    <w:rsid w:val="00126DD5"/>
    <w:rsid w:val="00130EDD"/>
    <w:rsid w:val="00134745"/>
    <w:rsid w:val="00135CD5"/>
    <w:rsid w:val="00136F31"/>
    <w:rsid w:val="001378F3"/>
    <w:rsid w:val="001435B6"/>
    <w:rsid w:val="00146EA6"/>
    <w:rsid w:val="001553EC"/>
    <w:rsid w:val="00155703"/>
    <w:rsid w:val="00156F13"/>
    <w:rsid w:val="00157049"/>
    <w:rsid w:val="0016022A"/>
    <w:rsid w:val="0016321E"/>
    <w:rsid w:val="0016393B"/>
    <w:rsid w:val="00163A5A"/>
    <w:rsid w:val="0017730F"/>
    <w:rsid w:val="001828FD"/>
    <w:rsid w:val="001830BE"/>
    <w:rsid w:val="00190524"/>
    <w:rsid w:val="0019243D"/>
    <w:rsid w:val="00193072"/>
    <w:rsid w:val="00193447"/>
    <w:rsid w:val="00193594"/>
    <w:rsid w:val="001938BA"/>
    <w:rsid w:val="0019754D"/>
    <w:rsid w:val="001A29A0"/>
    <w:rsid w:val="001B3E64"/>
    <w:rsid w:val="001B4237"/>
    <w:rsid w:val="001B429B"/>
    <w:rsid w:val="001B45AC"/>
    <w:rsid w:val="001B6BD9"/>
    <w:rsid w:val="001B74FF"/>
    <w:rsid w:val="001C2D8D"/>
    <w:rsid w:val="001C5801"/>
    <w:rsid w:val="001C72F4"/>
    <w:rsid w:val="001C7D11"/>
    <w:rsid w:val="001D1664"/>
    <w:rsid w:val="001D47AB"/>
    <w:rsid w:val="001D5D14"/>
    <w:rsid w:val="001D7D34"/>
    <w:rsid w:val="001E2EA7"/>
    <w:rsid w:val="001E3777"/>
    <w:rsid w:val="001E4F2C"/>
    <w:rsid w:val="001E5040"/>
    <w:rsid w:val="001E6EB3"/>
    <w:rsid w:val="001F5A7D"/>
    <w:rsid w:val="001F64BF"/>
    <w:rsid w:val="00200510"/>
    <w:rsid w:val="002012C3"/>
    <w:rsid w:val="00201D1E"/>
    <w:rsid w:val="002143D1"/>
    <w:rsid w:val="0021494C"/>
    <w:rsid w:val="00217E40"/>
    <w:rsid w:val="002304E5"/>
    <w:rsid w:val="002336F6"/>
    <w:rsid w:val="00233948"/>
    <w:rsid w:val="00234BE7"/>
    <w:rsid w:val="00240CC3"/>
    <w:rsid w:val="00245229"/>
    <w:rsid w:val="00251FC7"/>
    <w:rsid w:val="002527B6"/>
    <w:rsid w:val="00257B5F"/>
    <w:rsid w:val="00261D72"/>
    <w:rsid w:val="002628EE"/>
    <w:rsid w:val="00263852"/>
    <w:rsid w:val="00263C8B"/>
    <w:rsid w:val="00265E4B"/>
    <w:rsid w:val="00265F2C"/>
    <w:rsid w:val="00266F06"/>
    <w:rsid w:val="00267E9C"/>
    <w:rsid w:val="00273089"/>
    <w:rsid w:val="00274D45"/>
    <w:rsid w:val="00277505"/>
    <w:rsid w:val="0028687E"/>
    <w:rsid w:val="00290A99"/>
    <w:rsid w:val="00290DC5"/>
    <w:rsid w:val="00291283"/>
    <w:rsid w:val="00292474"/>
    <w:rsid w:val="00293D05"/>
    <w:rsid w:val="002A02FB"/>
    <w:rsid w:val="002A19C7"/>
    <w:rsid w:val="002A2157"/>
    <w:rsid w:val="002A370D"/>
    <w:rsid w:val="002A5B45"/>
    <w:rsid w:val="002A7302"/>
    <w:rsid w:val="002A7749"/>
    <w:rsid w:val="002B19F4"/>
    <w:rsid w:val="002B2970"/>
    <w:rsid w:val="002B6B54"/>
    <w:rsid w:val="002B6DAD"/>
    <w:rsid w:val="002B6F30"/>
    <w:rsid w:val="002B7B81"/>
    <w:rsid w:val="002C3362"/>
    <w:rsid w:val="002C4BB4"/>
    <w:rsid w:val="002D1DB4"/>
    <w:rsid w:val="002D2467"/>
    <w:rsid w:val="002D461A"/>
    <w:rsid w:val="002D6747"/>
    <w:rsid w:val="002D775C"/>
    <w:rsid w:val="002E128A"/>
    <w:rsid w:val="002E23F5"/>
    <w:rsid w:val="002E2E36"/>
    <w:rsid w:val="002E6480"/>
    <w:rsid w:val="002E79D9"/>
    <w:rsid w:val="002F2571"/>
    <w:rsid w:val="002F2744"/>
    <w:rsid w:val="002F3426"/>
    <w:rsid w:val="002F344D"/>
    <w:rsid w:val="002F36A9"/>
    <w:rsid w:val="002F7C1C"/>
    <w:rsid w:val="00301554"/>
    <w:rsid w:val="00302710"/>
    <w:rsid w:val="0030314A"/>
    <w:rsid w:val="00304839"/>
    <w:rsid w:val="0030522F"/>
    <w:rsid w:val="0030750C"/>
    <w:rsid w:val="003167F9"/>
    <w:rsid w:val="00316A8A"/>
    <w:rsid w:val="00321CE1"/>
    <w:rsid w:val="00326B3A"/>
    <w:rsid w:val="00330444"/>
    <w:rsid w:val="00330AC6"/>
    <w:rsid w:val="00332378"/>
    <w:rsid w:val="00332381"/>
    <w:rsid w:val="00333076"/>
    <w:rsid w:val="00334916"/>
    <w:rsid w:val="00335CEB"/>
    <w:rsid w:val="00340D19"/>
    <w:rsid w:val="003429A7"/>
    <w:rsid w:val="0034511D"/>
    <w:rsid w:val="003452F6"/>
    <w:rsid w:val="00345EB7"/>
    <w:rsid w:val="003519CB"/>
    <w:rsid w:val="00356764"/>
    <w:rsid w:val="00361761"/>
    <w:rsid w:val="00362234"/>
    <w:rsid w:val="003659FD"/>
    <w:rsid w:val="00366EC1"/>
    <w:rsid w:val="00370043"/>
    <w:rsid w:val="003718C2"/>
    <w:rsid w:val="00371DD9"/>
    <w:rsid w:val="0037272D"/>
    <w:rsid w:val="0037286E"/>
    <w:rsid w:val="00373014"/>
    <w:rsid w:val="00373EF4"/>
    <w:rsid w:val="00376F5B"/>
    <w:rsid w:val="00382FE7"/>
    <w:rsid w:val="00384C26"/>
    <w:rsid w:val="00386F8F"/>
    <w:rsid w:val="0039351D"/>
    <w:rsid w:val="00393595"/>
    <w:rsid w:val="0039614E"/>
    <w:rsid w:val="00397108"/>
    <w:rsid w:val="003A3C3E"/>
    <w:rsid w:val="003A46D4"/>
    <w:rsid w:val="003A5CB7"/>
    <w:rsid w:val="003A7D11"/>
    <w:rsid w:val="003B00CB"/>
    <w:rsid w:val="003B188B"/>
    <w:rsid w:val="003B4615"/>
    <w:rsid w:val="003B46E2"/>
    <w:rsid w:val="003B5089"/>
    <w:rsid w:val="003B6461"/>
    <w:rsid w:val="003B744F"/>
    <w:rsid w:val="003B7C88"/>
    <w:rsid w:val="003C68F4"/>
    <w:rsid w:val="003C6EF4"/>
    <w:rsid w:val="003D3040"/>
    <w:rsid w:val="003D4512"/>
    <w:rsid w:val="003D7BD4"/>
    <w:rsid w:val="003E00CD"/>
    <w:rsid w:val="003E2874"/>
    <w:rsid w:val="003E5145"/>
    <w:rsid w:val="003E6B26"/>
    <w:rsid w:val="003E722F"/>
    <w:rsid w:val="003E7278"/>
    <w:rsid w:val="003F1448"/>
    <w:rsid w:val="003F601C"/>
    <w:rsid w:val="003F7E48"/>
    <w:rsid w:val="00400B15"/>
    <w:rsid w:val="00400CF8"/>
    <w:rsid w:val="00401AC1"/>
    <w:rsid w:val="00401AC7"/>
    <w:rsid w:val="004035D1"/>
    <w:rsid w:val="0040686F"/>
    <w:rsid w:val="00410A1F"/>
    <w:rsid w:val="00410EDC"/>
    <w:rsid w:val="00411E7E"/>
    <w:rsid w:val="00412AB8"/>
    <w:rsid w:val="004132CA"/>
    <w:rsid w:val="00415A0A"/>
    <w:rsid w:val="0041786A"/>
    <w:rsid w:val="004264C0"/>
    <w:rsid w:val="0042661C"/>
    <w:rsid w:val="0042773A"/>
    <w:rsid w:val="00435A15"/>
    <w:rsid w:val="0043689F"/>
    <w:rsid w:val="004372EC"/>
    <w:rsid w:val="004373E8"/>
    <w:rsid w:val="0044112B"/>
    <w:rsid w:val="0044447F"/>
    <w:rsid w:val="00444975"/>
    <w:rsid w:val="00444D73"/>
    <w:rsid w:val="004467E7"/>
    <w:rsid w:val="00447D0C"/>
    <w:rsid w:val="00450A21"/>
    <w:rsid w:val="00450BD7"/>
    <w:rsid w:val="00450DF9"/>
    <w:rsid w:val="004515B5"/>
    <w:rsid w:val="004521E0"/>
    <w:rsid w:val="004564AC"/>
    <w:rsid w:val="0046437A"/>
    <w:rsid w:val="004665B4"/>
    <w:rsid w:val="00466A8A"/>
    <w:rsid w:val="00467663"/>
    <w:rsid w:val="00473794"/>
    <w:rsid w:val="00476A1D"/>
    <w:rsid w:val="004827E4"/>
    <w:rsid w:val="00483ABE"/>
    <w:rsid w:val="00486A15"/>
    <w:rsid w:val="00490595"/>
    <w:rsid w:val="004915EA"/>
    <w:rsid w:val="004A0642"/>
    <w:rsid w:val="004A0BFD"/>
    <w:rsid w:val="004A7ADC"/>
    <w:rsid w:val="004B4F82"/>
    <w:rsid w:val="004B649F"/>
    <w:rsid w:val="004C1EEA"/>
    <w:rsid w:val="004C2CB6"/>
    <w:rsid w:val="004C4782"/>
    <w:rsid w:val="004C4DF1"/>
    <w:rsid w:val="004C6BA8"/>
    <w:rsid w:val="004D0DEC"/>
    <w:rsid w:val="004D0F19"/>
    <w:rsid w:val="004D0F71"/>
    <w:rsid w:val="004D12A5"/>
    <w:rsid w:val="004D3CCE"/>
    <w:rsid w:val="004D5DB6"/>
    <w:rsid w:val="004D7028"/>
    <w:rsid w:val="004E2D5B"/>
    <w:rsid w:val="004E3A1C"/>
    <w:rsid w:val="004E3C87"/>
    <w:rsid w:val="004E699F"/>
    <w:rsid w:val="004F3873"/>
    <w:rsid w:val="004F6318"/>
    <w:rsid w:val="004F6589"/>
    <w:rsid w:val="004F7377"/>
    <w:rsid w:val="004F7EE9"/>
    <w:rsid w:val="00501483"/>
    <w:rsid w:val="00501A8F"/>
    <w:rsid w:val="00504CEF"/>
    <w:rsid w:val="0051120B"/>
    <w:rsid w:val="005120FC"/>
    <w:rsid w:val="005121D4"/>
    <w:rsid w:val="00516D06"/>
    <w:rsid w:val="00516EF9"/>
    <w:rsid w:val="00517228"/>
    <w:rsid w:val="005200F1"/>
    <w:rsid w:val="005210D7"/>
    <w:rsid w:val="0052125E"/>
    <w:rsid w:val="00523DFA"/>
    <w:rsid w:val="005316F6"/>
    <w:rsid w:val="00533241"/>
    <w:rsid w:val="0053509D"/>
    <w:rsid w:val="00535A83"/>
    <w:rsid w:val="005401ED"/>
    <w:rsid w:val="0054133B"/>
    <w:rsid w:val="0054514C"/>
    <w:rsid w:val="0054663A"/>
    <w:rsid w:val="0054737D"/>
    <w:rsid w:val="005505FB"/>
    <w:rsid w:val="00557E08"/>
    <w:rsid w:val="00563BFA"/>
    <w:rsid w:val="00566A2B"/>
    <w:rsid w:val="005737EC"/>
    <w:rsid w:val="00573A72"/>
    <w:rsid w:val="005757CF"/>
    <w:rsid w:val="005765E3"/>
    <w:rsid w:val="00576794"/>
    <w:rsid w:val="005774BD"/>
    <w:rsid w:val="00581A81"/>
    <w:rsid w:val="00583133"/>
    <w:rsid w:val="00584EF4"/>
    <w:rsid w:val="00585B99"/>
    <w:rsid w:val="0058646F"/>
    <w:rsid w:val="005924D0"/>
    <w:rsid w:val="005929AB"/>
    <w:rsid w:val="00595D59"/>
    <w:rsid w:val="00595DC5"/>
    <w:rsid w:val="00597AC9"/>
    <w:rsid w:val="005A2E5D"/>
    <w:rsid w:val="005B23B7"/>
    <w:rsid w:val="005B5419"/>
    <w:rsid w:val="005B6D25"/>
    <w:rsid w:val="005B6EBF"/>
    <w:rsid w:val="005B72A4"/>
    <w:rsid w:val="005C0DE7"/>
    <w:rsid w:val="005C0EF8"/>
    <w:rsid w:val="005C113D"/>
    <w:rsid w:val="005C1338"/>
    <w:rsid w:val="005C2B9B"/>
    <w:rsid w:val="005C4EF1"/>
    <w:rsid w:val="005C51C7"/>
    <w:rsid w:val="005D3D78"/>
    <w:rsid w:val="005D64F7"/>
    <w:rsid w:val="005E1090"/>
    <w:rsid w:val="005E32CC"/>
    <w:rsid w:val="005E3609"/>
    <w:rsid w:val="005E43C6"/>
    <w:rsid w:val="005E76BA"/>
    <w:rsid w:val="005F0239"/>
    <w:rsid w:val="005F5F0A"/>
    <w:rsid w:val="006016A3"/>
    <w:rsid w:val="006035DD"/>
    <w:rsid w:val="00611548"/>
    <w:rsid w:val="006122CF"/>
    <w:rsid w:val="0061441D"/>
    <w:rsid w:val="00615AC6"/>
    <w:rsid w:val="006165B5"/>
    <w:rsid w:val="0061783B"/>
    <w:rsid w:val="0062054F"/>
    <w:rsid w:val="006239AF"/>
    <w:rsid w:val="00625FB8"/>
    <w:rsid w:val="006324D3"/>
    <w:rsid w:val="00634548"/>
    <w:rsid w:val="006362AD"/>
    <w:rsid w:val="00637F78"/>
    <w:rsid w:val="00642B2F"/>
    <w:rsid w:val="0064482D"/>
    <w:rsid w:val="006502E9"/>
    <w:rsid w:val="00650E61"/>
    <w:rsid w:val="00654BC0"/>
    <w:rsid w:val="00655998"/>
    <w:rsid w:val="00662C66"/>
    <w:rsid w:val="006648B6"/>
    <w:rsid w:val="00665022"/>
    <w:rsid w:val="00667E3E"/>
    <w:rsid w:val="0067212D"/>
    <w:rsid w:val="00672538"/>
    <w:rsid w:val="00672CD8"/>
    <w:rsid w:val="006745EB"/>
    <w:rsid w:val="006768C9"/>
    <w:rsid w:val="00676FBF"/>
    <w:rsid w:val="006777F0"/>
    <w:rsid w:val="00686192"/>
    <w:rsid w:val="00686A21"/>
    <w:rsid w:val="006900F6"/>
    <w:rsid w:val="00691F97"/>
    <w:rsid w:val="00692262"/>
    <w:rsid w:val="00692B5A"/>
    <w:rsid w:val="006A1A1F"/>
    <w:rsid w:val="006A2094"/>
    <w:rsid w:val="006A2EC1"/>
    <w:rsid w:val="006A6335"/>
    <w:rsid w:val="006B272F"/>
    <w:rsid w:val="006B316E"/>
    <w:rsid w:val="006B3BDA"/>
    <w:rsid w:val="006B3FAB"/>
    <w:rsid w:val="006B5B3E"/>
    <w:rsid w:val="006C3810"/>
    <w:rsid w:val="006C3AD3"/>
    <w:rsid w:val="006C6C89"/>
    <w:rsid w:val="006D1FD2"/>
    <w:rsid w:val="006D32B0"/>
    <w:rsid w:val="006D3F5A"/>
    <w:rsid w:val="006D5644"/>
    <w:rsid w:val="006D7118"/>
    <w:rsid w:val="006E31A9"/>
    <w:rsid w:val="006E6A4B"/>
    <w:rsid w:val="006E70CD"/>
    <w:rsid w:val="006E730E"/>
    <w:rsid w:val="006F013C"/>
    <w:rsid w:val="006F0C0F"/>
    <w:rsid w:val="006F41BF"/>
    <w:rsid w:val="006F492C"/>
    <w:rsid w:val="006F71A6"/>
    <w:rsid w:val="00701BA8"/>
    <w:rsid w:val="0070357C"/>
    <w:rsid w:val="00705C72"/>
    <w:rsid w:val="00706B42"/>
    <w:rsid w:val="007109E6"/>
    <w:rsid w:val="007121E7"/>
    <w:rsid w:val="00721310"/>
    <w:rsid w:val="00726FEB"/>
    <w:rsid w:val="00730085"/>
    <w:rsid w:val="00731A94"/>
    <w:rsid w:val="00733309"/>
    <w:rsid w:val="007375EF"/>
    <w:rsid w:val="00741FBB"/>
    <w:rsid w:val="0074220D"/>
    <w:rsid w:val="007454CF"/>
    <w:rsid w:val="00747105"/>
    <w:rsid w:val="00747DF0"/>
    <w:rsid w:val="0075048D"/>
    <w:rsid w:val="00752C38"/>
    <w:rsid w:val="00753FF1"/>
    <w:rsid w:val="00754BC5"/>
    <w:rsid w:val="0076319D"/>
    <w:rsid w:val="007679F2"/>
    <w:rsid w:val="0077356D"/>
    <w:rsid w:val="00773E3D"/>
    <w:rsid w:val="007743FB"/>
    <w:rsid w:val="00776979"/>
    <w:rsid w:val="00776E78"/>
    <w:rsid w:val="007811AA"/>
    <w:rsid w:val="007818A2"/>
    <w:rsid w:val="00781AF7"/>
    <w:rsid w:val="00782DA1"/>
    <w:rsid w:val="00787324"/>
    <w:rsid w:val="0079012E"/>
    <w:rsid w:val="00794E3B"/>
    <w:rsid w:val="00795EC1"/>
    <w:rsid w:val="007A0255"/>
    <w:rsid w:val="007A05B6"/>
    <w:rsid w:val="007A105A"/>
    <w:rsid w:val="007A31A8"/>
    <w:rsid w:val="007A77C0"/>
    <w:rsid w:val="007B0EEA"/>
    <w:rsid w:val="007B7098"/>
    <w:rsid w:val="007B73A2"/>
    <w:rsid w:val="007C1A0B"/>
    <w:rsid w:val="007C1D7E"/>
    <w:rsid w:val="007C1F0E"/>
    <w:rsid w:val="007C26E4"/>
    <w:rsid w:val="007C37C5"/>
    <w:rsid w:val="007C6B19"/>
    <w:rsid w:val="007C79C8"/>
    <w:rsid w:val="007D3C75"/>
    <w:rsid w:val="007D3E25"/>
    <w:rsid w:val="007D4649"/>
    <w:rsid w:val="007D619C"/>
    <w:rsid w:val="007D7169"/>
    <w:rsid w:val="007E3D91"/>
    <w:rsid w:val="007E7716"/>
    <w:rsid w:val="007E7E80"/>
    <w:rsid w:val="007F2B44"/>
    <w:rsid w:val="007F506F"/>
    <w:rsid w:val="007F5C4E"/>
    <w:rsid w:val="007F64D1"/>
    <w:rsid w:val="008035A4"/>
    <w:rsid w:val="00807CC3"/>
    <w:rsid w:val="00810084"/>
    <w:rsid w:val="00817ABC"/>
    <w:rsid w:val="008202DC"/>
    <w:rsid w:val="008227D0"/>
    <w:rsid w:val="0082358D"/>
    <w:rsid w:val="00823ACD"/>
    <w:rsid w:val="008309D9"/>
    <w:rsid w:val="0083451B"/>
    <w:rsid w:val="00834EBB"/>
    <w:rsid w:val="00836B61"/>
    <w:rsid w:val="00836ECD"/>
    <w:rsid w:val="008376C0"/>
    <w:rsid w:val="00837735"/>
    <w:rsid w:val="008412CC"/>
    <w:rsid w:val="00845537"/>
    <w:rsid w:val="00846B57"/>
    <w:rsid w:val="0085640F"/>
    <w:rsid w:val="00864B16"/>
    <w:rsid w:val="00873645"/>
    <w:rsid w:val="00873C8C"/>
    <w:rsid w:val="008758C2"/>
    <w:rsid w:val="00875AA0"/>
    <w:rsid w:val="0088438E"/>
    <w:rsid w:val="00891A2E"/>
    <w:rsid w:val="0089784A"/>
    <w:rsid w:val="008A158D"/>
    <w:rsid w:val="008A2B84"/>
    <w:rsid w:val="008A2F82"/>
    <w:rsid w:val="008A3A48"/>
    <w:rsid w:val="008A5B37"/>
    <w:rsid w:val="008A745D"/>
    <w:rsid w:val="008A7613"/>
    <w:rsid w:val="008A762C"/>
    <w:rsid w:val="008B3DA6"/>
    <w:rsid w:val="008B52C7"/>
    <w:rsid w:val="008C2DF9"/>
    <w:rsid w:val="008C2E2B"/>
    <w:rsid w:val="008C3012"/>
    <w:rsid w:val="008D09BE"/>
    <w:rsid w:val="008D2257"/>
    <w:rsid w:val="008D2F2F"/>
    <w:rsid w:val="008D4F54"/>
    <w:rsid w:val="008D51E6"/>
    <w:rsid w:val="008E2080"/>
    <w:rsid w:val="008E3BB9"/>
    <w:rsid w:val="008F31B7"/>
    <w:rsid w:val="008F5064"/>
    <w:rsid w:val="00902788"/>
    <w:rsid w:val="00903D3B"/>
    <w:rsid w:val="00913520"/>
    <w:rsid w:val="00914716"/>
    <w:rsid w:val="00914B81"/>
    <w:rsid w:val="00916A16"/>
    <w:rsid w:val="0091713D"/>
    <w:rsid w:val="0091730D"/>
    <w:rsid w:val="00917642"/>
    <w:rsid w:val="00922B5A"/>
    <w:rsid w:val="00923549"/>
    <w:rsid w:val="00923C87"/>
    <w:rsid w:val="00924173"/>
    <w:rsid w:val="009272BC"/>
    <w:rsid w:val="0093145D"/>
    <w:rsid w:val="00931D8E"/>
    <w:rsid w:val="00932651"/>
    <w:rsid w:val="0094061E"/>
    <w:rsid w:val="0094285D"/>
    <w:rsid w:val="00943544"/>
    <w:rsid w:val="00947818"/>
    <w:rsid w:val="00952E4E"/>
    <w:rsid w:val="00956B37"/>
    <w:rsid w:val="00956FA1"/>
    <w:rsid w:val="009746B5"/>
    <w:rsid w:val="00980B50"/>
    <w:rsid w:val="00984B04"/>
    <w:rsid w:val="00987A87"/>
    <w:rsid w:val="00991B12"/>
    <w:rsid w:val="0099731A"/>
    <w:rsid w:val="009A02BE"/>
    <w:rsid w:val="009A4A20"/>
    <w:rsid w:val="009A5EC6"/>
    <w:rsid w:val="009A763C"/>
    <w:rsid w:val="009B1FA6"/>
    <w:rsid w:val="009B221B"/>
    <w:rsid w:val="009B4980"/>
    <w:rsid w:val="009B4AFE"/>
    <w:rsid w:val="009B54CA"/>
    <w:rsid w:val="009B7B72"/>
    <w:rsid w:val="009C0023"/>
    <w:rsid w:val="009C3B9B"/>
    <w:rsid w:val="009C3CAA"/>
    <w:rsid w:val="009C6854"/>
    <w:rsid w:val="009D114E"/>
    <w:rsid w:val="009D15FB"/>
    <w:rsid w:val="009D1C22"/>
    <w:rsid w:val="009D5128"/>
    <w:rsid w:val="009D5349"/>
    <w:rsid w:val="009D73CD"/>
    <w:rsid w:val="009E4316"/>
    <w:rsid w:val="009E5DDE"/>
    <w:rsid w:val="009E6118"/>
    <w:rsid w:val="009F0959"/>
    <w:rsid w:val="009F0CFA"/>
    <w:rsid w:val="009F1768"/>
    <w:rsid w:val="009F7B9D"/>
    <w:rsid w:val="00A05596"/>
    <w:rsid w:val="00A06413"/>
    <w:rsid w:val="00A128DA"/>
    <w:rsid w:val="00A1476D"/>
    <w:rsid w:val="00A16B51"/>
    <w:rsid w:val="00A16FE8"/>
    <w:rsid w:val="00A20890"/>
    <w:rsid w:val="00A2347D"/>
    <w:rsid w:val="00A26B99"/>
    <w:rsid w:val="00A30632"/>
    <w:rsid w:val="00A31CD4"/>
    <w:rsid w:val="00A32305"/>
    <w:rsid w:val="00A33737"/>
    <w:rsid w:val="00A355B2"/>
    <w:rsid w:val="00A35854"/>
    <w:rsid w:val="00A36F6E"/>
    <w:rsid w:val="00A46FAF"/>
    <w:rsid w:val="00A52577"/>
    <w:rsid w:val="00A52E52"/>
    <w:rsid w:val="00A53276"/>
    <w:rsid w:val="00A57C61"/>
    <w:rsid w:val="00A602B2"/>
    <w:rsid w:val="00A603D0"/>
    <w:rsid w:val="00A614B5"/>
    <w:rsid w:val="00A6182F"/>
    <w:rsid w:val="00A62961"/>
    <w:rsid w:val="00A63C91"/>
    <w:rsid w:val="00A650EC"/>
    <w:rsid w:val="00A65A09"/>
    <w:rsid w:val="00A65CC8"/>
    <w:rsid w:val="00A6619C"/>
    <w:rsid w:val="00A66E41"/>
    <w:rsid w:val="00A67D59"/>
    <w:rsid w:val="00A74585"/>
    <w:rsid w:val="00A852BF"/>
    <w:rsid w:val="00AA07B1"/>
    <w:rsid w:val="00AA368F"/>
    <w:rsid w:val="00AA709F"/>
    <w:rsid w:val="00AA774D"/>
    <w:rsid w:val="00AB1074"/>
    <w:rsid w:val="00AB3128"/>
    <w:rsid w:val="00AB4315"/>
    <w:rsid w:val="00AB5451"/>
    <w:rsid w:val="00AB6E6C"/>
    <w:rsid w:val="00AC414E"/>
    <w:rsid w:val="00AD331A"/>
    <w:rsid w:val="00AE0536"/>
    <w:rsid w:val="00AF7125"/>
    <w:rsid w:val="00B026C2"/>
    <w:rsid w:val="00B02C21"/>
    <w:rsid w:val="00B03121"/>
    <w:rsid w:val="00B06E59"/>
    <w:rsid w:val="00B07BA6"/>
    <w:rsid w:val="00B1013A"/>
    <w:rsid w:val="00B10493"/>
    <w:rsid w:val="00B106DF"/>
    <w:rsid w:val="00B11231"/>
    <w:rsid w:val="00B113E1"/>
    <w:rsid w:val="00B12D4E"/>
    <w:rsid w:val="00B13A90"/>
    <w:rsid w:val="00B145E6"/>
    <w:rsid w:val="00B20D1D"/>
    <w:rsid w:val="00B27083"/>
    <w:rsid w:val="00B27135"/>
    <w:rsid w:val="00B30446"/>
    <w:rsid w:val="00B4526B"/>
    <w:rsid w:val="00B45BC3"/>
    <w:rsid w:val="00B47A5C"/>
    <w:rsid w:val="00B50905"/>
    <w:rsid w:val="00B50EF7"/>
    <w:rsid w:val="00B527BF"/>
    <w:rsid w:val="00B54AE7"/>
    <w:rsid w:val="00B5599C"/>
    <w:rsid w:val="00B56BCC"/>
    <w:rsid w:val="00B6342B"/>
    <w:rsid w:val="00B6452A"/>
    <w:rsid w:val="00B66E6B"/>
    <w:rsid w:val="00B73965"/>
    <w:rsid w:val="00B74612"/>
    <w:rsid w:val="00B7756D"/>
    <w:rsid w:val="00B8559E"/>
    <w:rsid w:val="00B85995"/>
    <w:rsid w:val="00B874EB"/>
    <w:rsid w:val="00B90BE6"/>
    <w:rsid w:val="00B92000"/>
    <w:rsid w:val="00B933E2"/>
    <w:rsid w:val="00B93EB4"/>
    <w:rsid w:val="00B95BAC"/>
    <w:rsid w:val="00B95C2A"/>
    <w:rsid w:val="00BA15E7"/>
    <w:rsid w:val="00BA1DA8"/>
    <w:rsid w:val="00BA7FBD"/>
    <w:rsid w:val="00BB006A"/>
    <w:rsid w:val="00BB6BAD"/>
    <w:rsid w:val="00BC1ED4"/>
    <w:rsid w:val="00BC2B2B"/>
    <w:rsid w:val="00BC2CB8"/>
    <w:rsid w:val="00BC4E23"/>
    <w:rsid w:val="00BC5365"/>
    <w:rsid w:val="00BC7FB1"/>
    <w:rsid w:val="00BD18B5"/>
    <w:rsid w:val="00BD259B"/>
    <w:rsid w:val="00BD31C7"/>
    <w:rsid w:val="00BD51FB"/>
    <w:rsid w:val="00BE2CC7"/>
    <w:rsid w:val="00BE53A3"/>
    <w:rsid w:val="00BE5DA9"/>
    <w:rsid w:val="00BE7918"/>
    <w:rsid w:val="00BE7D3E"/>
    <w:rsid w:val="00BF3728"/>
    <w:rsid w:val="00BF5F14"/>
    <w:rsid w:val="00C01A20"/>
    <w:rsid w:val="00C02282"/>
    <w:rsid w:val="00C047F7"/>
    <w:rsid w:val="00C05486"/>
    <w:rsid w:val="00C128AE"/>
    <w:rsid w:val="00C12914"/>
    <w:rsid w:val="00C1316B"/>
    <w:rsid w:val="00C146D4"/>
    <w:rsid w:val="00C14DAD"/>
    <w:rsid w:val="00C163B2"/>
    <w:rsid w:val="00C17BCD"/>
    <w:rsid w:val="00C2244A"/>
    <w:rsid w:val="00C23D2C"/>
    <w:rsid w:val="00C25390"/>
    <w:rsid w:val="00C26165"/>
    <w:rsid w:val="00C30B6A"/>
    <w:rsid w:val="00C30E03"/>
    <w:rsid w:val="00C3255B"/>
    <w:rsid w:val="00C46AA9"/>
    <w:rsid w:val="00C50A8F"/>
    <w:rsid w:val="00C51063"/>
    <w:rsid w:val="00C51718"/>
    <w:rsid w:val="00C542C5"/>
    <w:rsid w:val="00C55BF4"/>
    <w:rsid w:val="00C576C1"/>
    <w:rsid w:val="00C57BEE"/>
    <w:rsid w:val="00C64A93"/>
    <w:rsid w:val="00C67619"/>
    <w:rsid w:val="00C70E7F"/>
    <w:rsid w:val="00C726D3"/>
    <w:rsid w:val="00C73486"/>
    <w:rsid w:val="00C73AC4"/>
    <w:rsid w:val="00C76402"/>
    <w:rsid w:val="00C76CD3"/>
    <w:rsid w:val="00C83250"/>
    <w:rsid w:val="00C838BB"/>
    <w:rsid w:val="00C86166"/>
    <w:rsid w:val="00C8789C"/>
    <w:rsid w:val="00C91AC4"/>
    <w:rsid w:val="00C93531"/>
    <w:rsid w:val="00C94157"/>
    <w:rsid w:val="00CA0925"/>
    <w:rsid w:val="00CA2665"/>
    <w:rsid w:val="00CA4583"/>
    <w:rsid w:val="00CA6B56"/>
    <w:rsid w:val="00CB0247"/>
    <w:rsid w:val="00CB357E"/>
    <w:rsid w:val="00CB37DF"/>
    <w:rsid w:val="00CB7731"/>
    <w:rsid w:val="00CC1184"/>
    <w:rsid w:val="00CC25FC"/>
    <w:rsid w:val="00CC51E2"/>
    <w:rsid w:val="00CC6057"/>
    <w:rsid w:val="00CC768B"/>
    <w:rsid w:val="00CD05A6"/>
    <w:rsid w:val="00CD2744"/>
    <w:rsid w:val="00CD3A5D"/>
    <w:rsid w:val="00CD3C27"/>
    <w:rsid w:val="00CD5772"/>
    <w:rsid w:val="00CD5F91"/>
    <w:rsid w:val="00CE342D"/>
    <w:rsid w:val="00CE3915"/>
    <w:rsid w:val="00CE4F63"/>
    <w:rsid w:val="00CE78FF"/>
    <w:rsid w:val="00CF118F"/>
    <w:rsid w:val="00CF15C7"/>
    <w:rsid w:val="00CF22B4"/>
    <w:rsid w:val="00CF4288"/>
    <w:rsid w:val="00CF5536"/>
    <w:rsid w:val="00CF7492"/>
    <w:rsid w:val="00D01AA5"/>
    <w:rsid w:val="00D03E63"/>
    <w:rsid w:val="00D06AE4"/>
    <w:rsid w:val="00D11362"/>
    <w:rsid w:val="00D139B2"/>
    <w:rsid w:val="00D1733F"/>
    <w:rsid w:val="00D21DAA"/>
    <w:rsid w:val="00D242C0"/>
    <w:rsid w:val="00D310BD"/>
    <w:rsid w:val="00D31A99"/>
    <w:rsid w:val="00D328F5"/>
    <w:rsid w:val="00D33297"/>
    <w:rsid w:val="00D37083"/>
    <w:rsid w:val="00D41483"/>
    <w:rsid w:val="00D44229"/>
    <w:rsid w:val="00D55896"/>
    <w:rsid w:val="00D575FF"/>
    <w:rsid w:val="00D616AB"/>
    <w:rsid w:val="00D61AA5"/>
    <w:rsid w:val="00D62170"/>
    <w:rsid w:val="00D63F9D"/>
    <w:rsid w:val="00D72F7F"/>
    <w:rsid w:val="00D84306"/>
    <w:rsid w:val="00D84EAD"/>
    <w:rsid w:val="00D86A4C"/>
    <w:rsid w:val="00D87E31"/>
    <w:rsid w:val="00D934BA"/>
    <w:rsid w:val="00D97333"/>
    <w:rsid w:val="00D975DA"/>
    <w:rsid w:val="00DA0A0E"/>
    <w:rsid w:val="00DA2704"/>
    <w:rsid w:val="00DA497A"/>
    <w:rsid w:val="00DA50FF"/>
    <w:rsid w:val="00DB254E"/>
    <w:rsid w:val="00DB3317"/>
    <w:rsid w:val="00DB63CF"/>
    <w:rsid w:val="00DC0337"/>
    <w:rsid w:val="00DC0C05"/>
    <w:rsid w:val="00DC1D29"/>
    <w:rsid w:val="00DC3573"/>
    <w:rsid w:val="00DC4B26"/>
    <w:rsid w:val="00DC4E6A"/>
    <w:rsid w:val="00DC5558"/>
    <w:rsid w:val="00DC7248"/>
    <w:rsid w:val="00DC7279"/>
    <w:rsid w:val="00DD3220"/>
    <w:rsid w:val="00DD37E8"/>
    <w:rsid w:val="00DD441E"/>
    <w:rsid w:val="00DD493D"/>
    <w:rsid w:val="00DE25D3"/>
    <w:rsid w:val="00DE3AEC"/>
    <w:rsid w:val="00DE3EDF"/>
    <w:rsid w:val="00DE470C"/>
    <w:rsid w:val="00DE4F04"/>
    <w:rsid w:val="00DE64D6"/>
    <w:rsid w:val="00DF034B"/>
    <w:rsid w:val="00DF0600"/>
    <w:rsid w:val="00DF087A"/>
    <w:rsid w:val="00DF1E9E"/>
    <w:rsid w:val="00DF256B"/>
    <w:rsid w:val="00DF5BD2"/>
    <w:rsid w:val="00E01BF7"/>
    <w:rsid w:val="00E03533"/>
    <w:rsid w:val="00E03611"/>
    <w:rsid w:val="00E0405D"/>
    <w:rsid w:val="00E0799A"/>
    <w:rsid w:val="00E11521"/>
    <w:rsid w:val="00E11E22"/>
    <w:rsid w:val="00E12857"/>
    <w:rsid w:val="00E13218"/>
    <w:rsid w:val="00E1394F"/>
    <w:rsid w:val="00E23121"/>
    <w:rsid w:val="00E24932"/>
    <w:rsid w:val="00E250F7"/>
    <w:rsid w:val="00E27FC8"/>
    <w:rsid w:val="00E35D23"/>
    <w:rsid w:val="00E36F67"/>
    <w:rsid w:val="00E4044F"/>
    <w:rsid w:val="00E4447C"/>
    <w:rsid w:val="00E45891"/>
    <w:rsid w:val="00E46E76"/>
    <w:rsid w:val="00E4760E"/>
    <w:rsid w:val="00E50576"/>
    <w:rsid w:val="00E529E4"/>
    <w:rsid w:val="00E53CA5"/>
    <w:rsid w:val="00E55007"/>
    <w:rsid w:val="00E5628C"/>
    <w:rsid w:val="00E60E6B"/>
    <w:rsid w:val="00E63EA4"/>
    <w:rsid w:val="00E64929"/>
    <w:rsid w:val="00E666DE"/>
    <w:rsid w:val="00E67CD2"/>
    <w:rsid w:val="00E71073"/>
    <w:rsid w:val="00E7121D"/>
    <w:rsid w:val="00E73197"/>
    <w:rsid w:val="00E74450"/>
    <w:rsid w:val="00E7503C"/>
    <w:rsid w:val="00E75679"/>
    <w:rsid w:val="00E75871"/>
    <w:rsid w:val="00E75C95"/>
    <w:rsid w:val="00E85595"/>
    <w:rsid w:val="00E856D1"/>
    <w:rsid w:val="00E86B11"/>
    <w:rsid w:val="00E920D6"/>
    <w:rsid w:val="00E92D83"/>
    <w:rsid w:val="00E94444"/>
    <w:rsid w:val="00E94FA9"/>
    <w:rsid w:val="00E971E5"/>
    <w:rsid w:val="00E978FA"/>
    <w:rsid w:val="00EB0176"/>
    <w:rsid w:val="00EB0A12"/>
    <w:rsid w:val="00EB23EE"/>
    <w:rsid w:val="00EB2FFE"/>
    <w:rsid w:val="00EB394A"/>
    <w:rsid w:val="00EB3E07"/>
    <w:rsid w:val="00EC0401"/>
    <w:rsid w:val="00EC0B15"/>
    <w:rsid w:val="00EC11D6"/>
    <w:rsid w:val="00EC3D99"/>
    <w:rsid w:val="00EC4FA9"/>
    <w:rsid w:val="00EC6267"/>
    <w:rsid w:val="00EC6BE9"/>
    <w:rsid w:val="00EC77BD"/>
    <w:rsid w:val="00ED293E"/>
    <w:rsid w:val="00ED5F25"/>
    <w:rsid w:val="00EE0174"/>
    <w:rsid w:val="00EE10B3"/>
    <w:rsid w:val="00EE2A59"/>
    <w:rsid w:val="00EE76DA"/>
    <w:rsid w:val="00EF1C2A"/>
    <w:rsid w:val="00EF1D5C"/>
    <w:rsid w:val="00EF2136"/>
    <w:rsid w:val="00EF2D62"/>
    <w:rsid w:val="00EF5B60"/>
    <w:rsid w:val="00EF611C"/>
    <w:rsid w:val="00EF6481"/>
    <w:rsid w:val="00EF732A"/>
    <w:rsid w:val="00F01B11"/>
    <w:rsid w:val="00F037D3"/>
    <w:rsid w:val="00F04CA6"/>
    <w:rsid w:val="00F051D7"/>
    <w:rsid w:val="00F0581E"/>
    <w:rsid w:val="00F06CBF"/>
    <w:rsid w:val="00F11570"/>
    <w:rsid w:val="00F1179B"/>
    <w:rsid w:val="00F1356C"/>
    <w:rsid w:val="00F14228"/>
    <w:rsid w:val="00F1453B"/>
    <w:rsid w:val="00F177DD"/>
    <w:rsid w:val="00F208D1"/>
    <w:rsid w:val="00F21F86"/>
    <w:rsid w:val="00F2410F"/>
    <w:rsid w:val="00F26AAA"/>
    <w:rsid w:val="00F35D8A"/>
    <w:rsid w:val="00F36098"/>
    <w:rsid w:val="00F37D7D"/>
    <w:rsid w:val="00F4093D"/>
    <w:rsid w:val="00F42DAC"/>
    <w:rsid w:val="00F51531"/>
    <w:rsid w:val="00F55464"/>
    <w:rsid w:val="00F56469"/>
    <w:rsid w:val="00F6662F"/>
    <w:rsid w:val="00F7639E"/>
    <w:rsid w:val="00F810DA"/>
    <w:rsid w:val="00F85FD0"/>
    <w:rsid w:val="00F91F32"/>
    <w:rsid w:val="00F91FF2"/>
    <w:rsid w:val="00F941F0"/>
    <w:rsid w:val="00FA246B"/>
    <w:rsid w:val="00FA2A2B"/>
    <w:rsid w:val="00FA3F23"/>
    <w:rsid w:val="00FB28C2"/>
    <w:rsid w:val="00FB4FC9"/>
    <w:rsid w:val="00FB7333"/>
    <w:rsid w:val="00FC3B1D"/>
    <w:rsid w:val="00FC53A2"/>
    <w:rsid w:val="00FC7816"/>
    <w:rsid w:val="00FC784C"/>
    <w:rsid w:val="00FD4BDB"/>
    <w:rsid w:val="00FD5ABE"/>
    <w:rsid w:val="00FE254D"/>
    <w:rsid w:val="00FE4F6F"/>
    <w:rsid w:val="00FE53F5"/>
    <w:rsid w:val="00FF082B"/>
    <w:rsid w:val="00FF6F48"/>
    <w:rsid w:val="025246B6"/>
    <w:rsid w:val="02783D4A"/>
    <w:rsid w:val="045C08AC"/>
    <w:rsid w:val="05CB3411"/>
    <w:rsid w:val="084F09BE"/>
    <w:rsid w:val="091C5C99"/>
    <w:rsid w:val="09921944"/>
    <w:rsid w:val="0A17760E"/>
    <w:rsid w:val="0AEA7039"/>
    <w:rsid w:val="0B0130E9"/>
    <w:rsid w:val="0C436DA2"/>
    <w:rsid w:val="0CA83424"/>
    <w:rsid w:val="0D8C008B"/>
    <w:rsid w:val="0E337531"/>
    <w:rsid w:val="0E8D4276"/>
    <w:rsid w:val="0F5C033F"/>
    <w:rsid w:val="0FF44057"/>
    <w:rsid w:val="14973FC1"/>
    <w:rsid w:val="186178B2"/>
    <w:rsid w:val="18A96379"/>
    <w:rsid w:val="19C11164"/>
    <w:rsid w:val="1F7347A2"/>
    <w:rsid w:val="1F8933AB"/>
    <w:rsid w:val="229405E1"/>
    <w:rsid w:val="22CB6474"/>
    <w:rsid w:val="231E6A94"/>
    <w:rsid w:val="250428BB"/>
    <w:rsid w:val="27315B31"/>
    <w:rsid w:val="2B1A7656"/>
    <w:rsid w:val="2C4273A6"/>
    <w:rsid w:val="36036374"/>
    <w:rsid w:val="39F85813"/>
    <w:rsid w:val="3EB65343"/>
    <w:rsid w:val="435143EF"/>
    <w:rsid w:val="46142516"/>
    <w:rsid w:val="469B0FAE"/>
    <w:rsid w:val="470241C9"/>
    <w:rsid w:val="47B975B1"/>
    <w:rsid w:val="47EC7D13"/>
    <w:rsid w:val="50903398"/>
    <w:rsid w:val="509466EB"/>
    <w:rsid w:val="51383DA3"/>
    <w:rsid w:val="51AE739C"/>
    <w:rsid w:val="522614C9"/>
    <w:rsid w:val="5248023B"/>
    <w:rsid w:val="5257135B"/>
    <w:rsid w:val="52942704"/>
    <w:rsid w:val="5A4967F5"/>
    <w:rsid w:val="5AF2343A"/>
    <w:rsid w:val="5E7A3906"/>
    <w:rsid w:val="605751D4"/>
    <w:rsid w:val="62DC0B84"/>
    <w:rsid w:val="64887171"/>
    <w:rsid w:val="672045F9"/>
    <w:rsid w:val="68C52DD1"/>
    <w:rsid w:val="694A6B1D"/>
    <w:rsid w:val="69926F53"/>
    <w:rsid w:val="6C317942"/>
    <w:rsid w:val="6E173D56"/>
    <w:rsid w:val="6FCD08DA"/>
    <w:rsid w:val="708B4794"/>
    <w:rsid w:val="73687C45"/>
    <w:rsid w:val="73B3406F"/>
    <w:rsid w:val="745445D9"/>
    <w:rsid w:val="77F46F5D"/>
    <w:rsid w:val="7A6924CB"/>
    <w:rsid w:val="7D5E46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nhideWhenUsed="0" w:uiPriority="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qFormat="1" w:unhideWhenUsed="0"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Document Map"/>
    <w:basedOn w:val="1"/>
    <w:semiHidden/>
    <w:qFormat/>
    <w:uiPriority w:val="0"/>
    <w:pPr>
      <w:shd w:val="clear" w:color="auto" w:fill="000080"/>
    </w:pPr>
  </w:style>
  <w:style w:type="paragraph" w:styleId="3">
    <w:name w:val="annotation text"/>
    <w:basedOn w:val="1"/>
    <w:link w:val="16"/>
    <w:semiHidden/>
    <w:qFormat/>
    <w:uiPriority w:val="0"/>
    <w:pPr>
      <w:jc w:val="left"/>
    </w:pPr>
  </w:style>
  <w:style w:type="paragraph" w:styleId="4">
    <w:name w:val="Balloon Text"/>
    <w:basedOn w:val="1"/>
    <w:semiHidden/>
    <w:qFormat/>
    <w:uiPriority w:val="0"/>
    <w:rPr>
      <w:sz w:val="18"/>
      <w:szCs w:val="18"/>
    </w:rPr>
  </w:style>
  <w:style w:type="paragraph" w:styleId="5">
    <w:name w:val="footer"/>
    <w:basedOn w:val="1"/>
    <w:link w:val="14"/>
    <w:qFormat/>
    <w:uiPriority w:val="99"/>
    <w:pPr>
      <w:tabs>
        <w:tab w:val="center" w:pos="4153"/>
        <w:tab w:val="right" w:pos="8306"/>
      </w:tabs>
      <w:snapToGrid w:val="0"/>
      <w:jc w:val="left"/>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semiHidden/>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page number"/>
    <w:basedOn w:val="10"/>
    <w:qFormat/>
    <w:uiPriority w:val="0"/>
  </w:style>
  <w:style w:type="character" w:styleId="12">
    <w:name w:val="annotation reference"/>
    <w:semiHidden/>
    <w:qFormat/>
    <w:uiPriority w:val="0"/>
    <w:rPr>
      <w:sz w:val="21"/>
      <w:szCs w:val="21"/>
    </w:rPr>
  </w:style>
  <w:style w:type="paragraph" w:customStyle="1" w:styleId="13">
    <w:name w:val="Char"/>
    <w:basedOn w:val="1"/>
    <w:qFormat/>
    <w:uiPriority w:val="0"/>
    <w:pPr>
      <w:widowControl/>
      <w:spacing w:after="160" w:line="240" w:lineRule="exact"/>
      <w:jc w:val="left"/>
    </w:pPr>
    <w:rPr>
      <w:rFonts w:ascii="Verdana" w:hAnsi="Verdana"/>
      <w:kern w:val="0"/>
      <w:sz w:val="20"/>
      <w:lang w:eastAsia="en-US"/>
    </w:rPr>
  </w:style>
  <w:style w:type="character" w:customStyle="1" w:styleId="14">
    <w:name w:val="页脚 字符"/>
    <w:basedOn w:val="10"/>
    <w:link w:val="5"/>
    <w:qFormat/>
    <w:uiPriority w:val="99"/>
    <w:rPr>
      <w:kern w:val="2"/>
      <w:sz w:val="18"/>
      <w:szCs w:val="18"/>
    </w:rPr>
  </w:style>
  <w:style w:type="paragraph" w:customStyle="1" w:styleId="15">
    <w:name w:val="修订1"/>
    <w:hidden/>
    <w:semiHidden/>
    <w:qFormat/>
    <w:uiPriority w:val="99"/>
    <w:rPr>
      <w:rFonts w:ascii="Times New Roman" w:hAnsi="Times New Roman" w:eastAsia="宋体" w:cs="Times New Roman"/>
      <w:kern w:val="2"/>
      <w:sz w:val="21"/>
      <w:lang w:val="en-US" w:eastAsia="zh-CN" w:bidi="ar-SA"/>
    </w:rPr>
  </w:style>
  <w:style w:type="character" w:customStyle="1" w:styleId="16">
    <w:name w:val="批注文字 字符"/>
    <w:basedOn w:val="10"/>
    <w:link w:val="3"/>
    <w:semiHidden/>
    <w:qFormat/>
    <w:uiPriority w:val="0"/>
    <w:rPr>
      <w:kern w:val="2"/>
      <w:sz w:val="21"/>
    </w:rPr>
  </w:style>
  <w:style w:type="character" w:customStyle="1" w:styleId="17">
    <w:name w:val="font11"/>
    <w:basedOn w:val="10"/>
    <w:qFormat/>
    <w:uiPriority w:val="0"/>
    <w:rPr>
      <w:rFonts w:hint="eastAsia" w:ascii="宋体" w:hAnsi="宋体" w:eastAsia="宋体" w:cs="宋体"/>
      <w:color w:val="000000"/>
      <w:sz w:val="18"/>
      <w:szCs w:val="18"/>
      <w:u w:val="none"/>
    </w:rPr>
  </w:style>
  <w:style w:type="paragraph" w:customStyle="1" w:styleId="18">
    <w:name w:val="Defaul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paragraph" w:styleId="19">
    <w:name w:val="List Paragraph"/>
    <w:basedOn w:val="1"/>
    <w:qFormat/>
    <w:uiPriority w:val="34"/>
    <w:pPr>
      <w:ind w:firstLine="420" w:firstLineChars="200"/>
    </w:pPr>
  </w:style>
  <w:style w:type="paragraph" w:customStyle="1" w:styleId="20">
    <w:name w:val="Revision"/>
    <w:hidden/>
    <w:semiHidden/>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77A4847-74C8-4144-B2AD-887D8F337EE8}">
  <ds:schemaRefs/>
</ds:datastoreItem>
</file>

<file path=docProps/app.xml><?xml version="1.0" encoding="utf-8"?>
<Properties xmlns="http://schemas.openxmlformats.org/officeDocument/2006/extended-properties" xmlns:vt="http://schemas.openxmlformats.org/officeDocument/2006/docPropsVTypes">
  <Template>Normal.dotm</Template>
  <Company>panchina</Company>
  <Pages>12</Pages>
  <Words>1376</Words>
  <Characters>7848</Characters>
  <Lines>65</Lines>
  <Paragraphs>18</Paragraphs>
  <TotalTime>2</TotalTime>
  <ScaleCrop>false</ScaleCrop>
  <LinksUpToDate>false</LinksUpToDate>
  <CharactersWithSpaces>9206</CharactersWithSpaces>
  <Application>WPS Office_11.8.2.10154_F1E327BC-269C-435d-A152-05C5408002CA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2019-12-20T09:45:00Z</dcterms:created>
  <dc:creator>william</dc:creator>
  <cp:lastModifiedBy>huawei</cp:lastModifiedBy>
  <dcterms:modified xsi:type="dcterms:W3CDTF">2026-08-25T06:31:06Z</dcterms:modified>
  <dc:title>年度募集资金存放与使用情况鉴证报告</dc:title>
  <cp:revision>698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2052-11.8.2.10154</vt:lpwstr>
  </property>
  <property fmtid="{D5CDD505-2E9C-101B-9397-08002B2CF9AE}" pid="3" name="ICV">
    <vt:lpwstr>A90B363F3F6D41DB95B82FE1E50A5812_13</vt:lpwstr>
  </property>
  <property fmtid="{D5CDD505-2E9C-101B-9397-08002B2CF9AE}" pid="4" name="KSOTemplateDocerSaveRecord">
    <vt:lpwstr>eyJoZGlkIjoiMDZkODQ3MDFjNzdkYjgwNWRlZDRmZjE4YzYxYzY0M2IiLCJ1c2VySWQiOiIzMjkyMzYyMzEifQ==</vt:lpwstr>
  </property>
</Properties>
</file>