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E6FBF" w14:textId="77777777" w:rsidR="00FB411C" w:rsidRDefault="00000000">
      <w:pPr>
        <w:spacing w:before="200" w:after="1000" w:line="560" w:lineRule="exact"/>
        <w:jc w:val="center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>证券代码：002849                证券简称：威星智能                公告编号：2026-055</w:t>
      </w:r>
    </w:p>
    <w:p w14:paraId="1EA1BAEB" w14:textId="77777777" w:rsidR="00FB411C" w:rsidRDefault="00000000">
      <w:pPr>
        <w:spacing w:after="1000" w:line="400" w:lineRule="exact"/>
        <w:jc w:val="center"/>
        <w:rPr>
          <w:rFonts w:ascii="宋体" w:eastAsia="宋体" w:hAnsi="宋体" w:cs="宋体" w:hint="eastAsia"/>
          <w:b/>
          <w:bCs/>
          <w:sz w:val="36"/>
          <w:szCs w:val="36"/>
        </w:rPr>
      </w:pPr>
      <w:r>
        <w:rPr>
          <w:rFonts w:ascii="宋体" w:eastAsia="宋体" w:hAnsi="宋体" w:cs="宋体"/>
          <w:b/>
          <w:bCs/>
          <w:sz w:val="36"/>
          <w:szCs w:val="36"/>
        </w:rPr>
        <w:t>浙江威星智能仪表股份有限公司2026年半年度报告摘要</w:t>
      </w:r>
    </w:p>
    <w:p w14:paraId="56612BAB" w14:textId="77777777" w:rsidR="00FB411C" w:rsidRDefault="00000000">
      <w:pPr>
        <w:pStyle w:val="2"/>
        <w:spacing w:before="300" w:after="300" w:line="320" w:lineRule="exact"/>
        <w:rPr>
          <w:rFonts w:ascii="宋体" w:eastAsia="宋体" w:hAnsi="宋体" w:cs="宋体" w:hint="eastAsia"/>
          <w:b/>
          <w:bCs/>
          <w:sz w:val="24"/>
          <w:szCs w:val="24"/>
        </w:rPr>
      </w:pPr>
      <w:bookmarkStart w:id="0" w:name="_Toc988889"/>
      <w:r>
        <w:rPr>
          <w:rFonts w:ascii="宋体" w:eastAsia="宋体" w:hAnsi="宋体" w:cs="宋体"/>
          <w:b/>
          <w:bCs/>
          <w:sz w:val="24"/>
          <w:szCs w:val="24"/>
        </w:rPr>
        <w:t>一、重要提示</w:t>
      </w:r>
      <w:bookmarkEnd w:id="0"/>
    </w:p>
    <w:p w14:paraId="68D529E4" w14:textId="77777777" w:rsidR="00FB411C" w:rsidRDefault="00000000">
      <w:pPr>
        <w:spacing w:before="40" w:after="40" w:line="240" w:lineRule="exac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>本半年度报告摘要来自半年度报告全文，为全面了解本公司的经营成果、财务状况及未来发展规划，投资者应当到证监会指定媒体仔细阅读半年度报告全文。</w:t>
      </w:r>
    </w:p>
    <w:p w14:paraId="54B509CF" w14:textId="77777777" w:rsidR="00FB411C" w:rsidRDefault="00000000">
      <w:pPr>
        <w:spacing w:after="0" w:line="240" w:lineRule="exac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>所有董事均已出席了审议本报告的董事会会议。</w:t>
      </w:r>
    </w:p>
    <w:p w14:paraId="40463F50" w14:textId="77777777" w:rsidR="00FB411C" w:rsidRDefault="00000000">
      <w:pPr>
        <w:spacing w:before="100" w:after="100" w:line="240" w:lineRule="exac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>非标准审计意见提示</w:t>
      </w:r>
    </w:p>
    <w:p w14:paraId="61F7B63A" w14:textId="77777777" w:rsidR="00FB411C" w:rsidRDefault="00000000">
      <w:pPr>
        <w:spacing w:after="0" w:line="240" w:lineRule="exac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 xml:space="preserve">□适用 </w:t>
      </w:r>
      <w:r>
        <w:rPr>
          <w:rFonts w:ascii="宋体" w:eastAsia="宋体" w:hAnsi="宋体" w:cs="宋体"/>
          <w:sz w:val="18"/>
          <w:szCs w:val="18"/>
        </w:rPr>
        <w:sym w:font="Wingdings 2" w:char="F052"/>
      </w:r>
      <w:r>
        <w:rPr>
          <w:rFonts w:ascii="宋体" w:eastAsia="宋体" w:hAnsi="宋体" w:cs="宋体"/>
          <w:sz w:val="18"/>
          <w:szCs w:val="18"/>
        </w:rPr>
        <w:t>不适用</w:t>
      </w:r>
    </w:p>
    <w:p w14:paraId="7716CAEC" w14:textId="77777777" w:rsidR="00FB411C" w:rsidRDefault="00000000">
      <w:pPr>
        <w:spacing w:before="100" w:after="40" w:line="240" w:lineRule="exac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>董事会审议的报告期利润分配预案或公积金转增股本预案</w:t>
      </w:r>
    </w:p>
    <w:p w14:paraId="4073C99A" w14:textId="77777777" w:rsidR="00FB411C" w:rsidRDefault="00000000">
      <w:pPr>
        <w:spacing w:after="0" w:line="240" w:lineRule="exac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 xml:space="preserve">□适用 </w:t>
      </w:r>
      <w:r>
        <w:rPr>
          <w:rFonts w:ascii="宋体" w:eastAsia="宋体" w:hAnsi="宋体" w:cs="宋体"/>
          <w:sz w:val="18"/>
          <w:szCs w:val="18"/>
        </w:rPr>
        <w:sym w:font="Wingdings 2" w:char="F052"/>
      </w:r>
      <w:r>
        <w:rPr>
          <w:rFonts w:ascii="宋体" w:eastAsia="宋体" w:hAnsi="宋体" w:cs="宋体"/>
          <w:sz w:val="18"/>
          <w:szCs w:val="18"/>
        </w:rPr>
        <w:t>不适用</w:t>
      </w:r>
    </w:p>
    <w:p w14:paraId="3509FB2D" w14:textId="77777777" w:rsidR="00FB411C" w:rsidRDefault="00000000">
      <w:pPr>
        <w:spacing w:before="40" w:after="40" w:line="240" w:lineRule="exac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>公司计划不派发现金红利，不送红股，不以公积金转增股本。</w:t>
      </w:r>
    </w:p>
    <w:p w14:paraId="5AF5CC35" w14:textId="77777777" w:rsidR="00FB411C" w:rsidRDefault="00000000">
      <w:pPr>
        <w:spacing w:before="100" w:after="100" w:line="240" w:lineRule="exac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>董事会决议通过的本报告期优先股利润分配预案</w:t>
      </w:r>
    </w:p>
    <w:p w14:paraId="22A7E572" w14:textId="77777777" w:rsidR="00FB411C" w:rsidRDefault="00000000">
      <w:pPr>
        <w:spacing w:after="0" w:line="240" w:lineRule="exac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 xml:space="preserve">□适用 </w:t>
      </w:r>
      <w:r>
        <w:rPr>
          <w:rFonts w:ascii="宋体" w:eastAsia="宋体" w:hAnsi="宋体" w:cs="宋体"/>
          <w:sz w:val="18"/>
          <w:szCs w:val="18"/>
        </w:rPr>
        <w:sym w:font="Wingdings 2" w:char="F052"/>
      </w:r>
      <w:r>
        <w:rPr>
          <w:rFonts w:ascii="宋体" w:eastAsia="宋体" w:hAnsi="宋体" w:cs="宋体"/>
          <w:sz w:val="18"/>
          <w:szCs w:val="18"/>
        </w:rPr>
        <w:t>不适用</w:t>
      </w:r>
    </w:p>
    <w:p w14:paraId="1E1A183D" w14:textId="77777777" w:rsidR="00FB411C" w:rsidRDefault="00000000">
      <w:pPr>
        <w:pStyle w:val="2"/>
        <w:spacing w:before="300" w:after="300" w:line="320" w:lineRule="exact"/>
        <w:rPr>
          <w:rFonts w:ascii="宋体" w:eastAsia="宋体" w:hAnsi="宋体" w:cs="宋体" w:hint="eastAsia"/>
          <w:b/>
          <w:bCs/>
          <w:sz w:val="24"/>
          <w:szCs w:val="24"/>
        </w:rPr>
      </w:pPr>
      <w:bookmarkStart w:id="1" w:name="_Toc988890"/>
      <w:r>
        <w:rPr>
          <w:rFonts w:ascii="宋体" w:eastAsia="宋体" w:hAnsi="宋体" w:cs="宋体"/>
          <w:b/>
          <w:bCs/>
          <w:sz w:val="24"/>
          <w:szCs w:val="24"/>
        </w:rPr>
        <w:t>二、公司基本情况</w:t>
      </w:r>
      <w:bookmarkEnd w:id="1"/>
    </w:p>
    <w:p w14:paraId="6A209D1F" w14:textId="77777777" w:rsidR="00FB411C" w:rsidRDefault="00000000">
      <w:pPr>
        <w:pStyle w:val="3"/>
        <w:spacing w:line="280" w:lineRule="exact"/>
        <w:jc w:val="left"/>
        <w:rPr>
          <w:rFonts w:ascii="宋体" w:hAnsi="宋体" w:cs="宋体" w:hint="eastAsia"/>
          <w:b/>
          <w:bCs/>
        </w:rPr>
      </w:pPr>
      <w:bookmarkStart w:id="2" w:name="_Toc988891"/>
      <w:r>
        <w:rPr>
          <w:rFonts w:ascii="宋体" w:hAnsi="宋体" w:cs="宋体"/>
          <w:b/>
          <w:bCs/>
        </w:rPr>
        <w:t>1、公司简介</w:t>
      </w:r>
      <w:bookmarkEnd w:id="2"/>
    </w:p>
    <w:tbl>
      <w:tblPr>
        <w:tblW w:w="9639" w:type="dxa"/>
        <w:tblInd w:w="108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13"/>
        <w:gridCol w:w="2142"/>
        <w:gridCol w:w="1071"/>
        <w:gridCol w:w="1071"/>
        <w:gridCol w:w="2142"/>
      </w:tblGrid>
      <w:tr w:rsidR="00FB411C" w14:paraId="74D4DD49" w14:textId="77777777">
        <w:trPr>
          <w:trHeight w:val="240"/>
        </w:trPr>
        <w:tc>
          <w:tcPr>
            <w:tcW w:w="32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00389A9D" w14:textId="77777777" w:rsidR="00FB411C" w:rsidRDefault="00000000">
            <w:pPr>
              <w:spacing w:before="40" w:after="4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股票简称</w:t>
            </w:r>
          </w:p>
        </w:tc>
        <w:tc>
          <w:tcPr>
            <w:tcW w:w="21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901F2D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威星智能</w:t>
            </w:r>
          </w:p>
        </w:tc>
        <w:tc>
          <w:tcPr>
            <w:tcW w:w="214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3208C649" w14:textId="77777777" w:rsidR="00FB411C" w:rsidRDefault="00000000">
            <w:pPr>
              <w:spacing w:before="40" w:after="4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股票代码</w:t>
            </w:r>
          </w:p>
        </w:tc>
        <w:tc>
          <w:tcPr>
            <w:tcW w:w="21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ABA490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002849</w:t>
            </w:r>
          </w:p>
        </w:tc>
      </w:tr>
      <w:tr w:rsidR="00FB411C" w14:paraId="4B855A57" w14:textId="77777777">
        <w:trPr>
          <w:trHeight w:val="240"/>
        </w:trPr>
        <w:tc>
          <w:tcPr>
            <w:tcW w:w="32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253A2378" w14:textId="77777777" w:rsidR="00FB411C" w:rsidRDefault="00000000">
            <w:pPr>
              <w:spacing w:before="40" w:after="4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股票上市交易所</w:t>
            </w:r>
          </w:p>
        </w:tc>
        <w:tc>
          <w:tcPr>
            <w:tcW w:w="642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6F8670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深圳证券交易所</w:t>
            </w:r>
          </w:p>
        </w:tc>
      </w:tr>
      <w:tr w:rsidR="00FB411C" w14:paraId="5A0350CC" w14:textId="77777777">
        <w:trPr>
          <w:trHeight w:val="240"/>
        </w:trPr>
        <w:tc>
          <w:tcPr>
            <w:tcW w:w="32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55E7ABC6" w14:textId="77777777" w:rsidR="00FB411C" w:rsidRDefault="00000000">
            <w:pPr>
              <w:spacing w:before="40" w:after="4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变更前的股票简称（如有）</w:t>
            </w:r>
          </w:p>
        </w:tc>
        <w:tc>
          <w:tcPr>
            <w:tcW w:w="642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3B5A18C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</w:tr>
      <w:tr w:rsidR="00FB411C" w14:paraId="7B3EEE67" w14:textId="77777777">
        <w:trPr>
          <w:trHeight w:val="240"/>
        </w:trPr>
        <w:tc>
          <w:tcPr>
            <w:tcW w:w="32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4C3F9340" w14:textId="77777777" w:rsidR="00FB411C" w:rsidRDefault="00000000">
            <w:pPr>
              <w:spacing w:before="40" w:after="40" w:line="240" w:lineRule="exact"/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联系人和联系方式</w:t>
            </w:r>
          </w:p>
        </w:tc>
        <w:tc>
          <w:tcPr>
            <w:tcW w:w="321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3E00E2BB" w14:textId="77777777" w:rsidR="00FB411C" w:rsidRDefault="00000000">
            <w:pPr>
              <w:spacing w:before="40" w:after="40" w:line="240" w:lineRule="exact"/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董事会秘书</w:t>
            </w:r>
          </w:p>
        </w:tc>
        <w:tc>
          <w:tcPr>
            <w:tcW w:w="321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4306E9AA" w14:textId="77777777" w:rsidR="00FB411C" w:rsidRDefault="00000000">
            <w:pPr>
              <w:spacing w:before="40" w:after="40" w:line="240" w:lineRule="exact"/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证券事务代表</w:t>
            </w:r>
          </w:p>
        </w:tc>
      </w:tr>
      <w:tr w:rsidR="00FB411C" w14:paraId="237D3C5C" w14:textId="77777777">
        <w:trPr>
          <w:trHeight w:val="240"/>
        </w:trPr>
        <w:tc>
          <w:tcPr>
            <w:tcW w:w="32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384CE8D8" w14:textId="77777777" w:rsidR="00FB411C" w:rsidRDefault="00000000">
            <w:pPr>
              <w:spacing w:before="40" w:after="4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姓名</w:t>
            </w:r>
          </w:p>
        </w:tc>
        <w:tc>
          <w:tcPr>
            <w:tcW w:w="321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8D7105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张琛</w:t>
            </w:r>
          </w:p>
        </w:tc>
        <w:tc>
          <w:tcPr>
            <w:tcW w:w="321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35C2C1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陈晓慧</w:t>
            </w:r>
          </w:p>
        </w:tc>
      </w:tr>
      <w:tr w:rsidR="00FB411C" w14:paraId="18A84F31" w14:textId="77777777">
        <w:trPr>
          <w:trHeight w:val="240"/>
        </w:trPr>
        <w:tc>
          <w:tcPr>
            <w:tcW w:w="32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16814B86" w14:textId="77777777" w:rsidR="00FB411C" w:rsidRDefault="00000000">
            <w:pPr>
              <w:spacing w:before="40" w:after="4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办公地址</w:t>
            </w:r>
          </w:p>
        </w:tc>
        <w:tc>
          <w:tcPr>
            <w:tcW w:w="321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3B0CB2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浙江省杭州市余杭区良渚街道祥运路366-1 号 1 幢</w:t>
            </w:r>
          </w:p>
        </w:tc>
        <w:tc>
          <w:tcPr>
            <w:tcW w:w="321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6311A1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浙江省杭州市余杭区良渚街道祥运路366-1 号 1 幢</w:t>
            </w:r>
          </w:p>
        </w:tc>
      </w:tr>
      <w:tr w:rsidR="00FB411C" w14:paraId="242EC695" w14:textId="77777777">
        <w:trPr>
          <w:trHeight w:val="240"/>
        </w:trPr>
        <w:tc>
          <w:tcPr>
            <w:tcW w:w="32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0BF2CE64" w14:textId="77777777" w:rsidR="00FB411C" w:rsidRDefault="00000000">
            <w:pPr>
              <w:spacing w:before="40" w:after="4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电话</w:t>
            </w:r>
          </w:p>
        </w:tc>
        <w:tc>
          <w:tcPr>
            <w:tcW w:w="321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E47FA8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0571-88179003</w:t>
            </w:r>
          </w:p>
        </w:tc>
        <w:tc>
          <w:tcPr>
            <w:tcW w:w="321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024C1C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0571-88179003</w:t>
            </w:r>
          </w:p>
        </w:tc>
      </w:tr>
      <w:tr w:rsidR="00FB411C" w14:paraId="4A3BECB2" w14:textId="77777777">
        <w:trPr>
          <w:trHeight w:val="240"/>
        </w:trPr>
        <w:tc>
          <w:tcPr>
            <w:tcW w:w="32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318517FF" w14:textId="77777777" w:rsidR="00FB411C" w:rsidRDefault="00000000">
            <w:pPr>
              <w:spacing w:before="40" w:after="4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电子信箱</w:t>
            </w:r>
          </w:p>
        </w:tc>
        <w:tc>
          <w:tcPr>
            <w:tcW w:w="321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F6719E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zqb@viewshine.cn</w:t>
            </w:r>
          </w:p>
        </w:tc>
        <w:tc>
          <w:tcPr>
            <w:tcW w:w="321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E71AE63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zqb@viewshine.cn</w:t>
            </w:r>
          </w:p>
        </w:tc>
      </w:tr>
    </w:tbl>
    <w:p w14:paraId="77F4559B" w14:textId="77777777" w:rsidR="00FB411C" w:rsidRDefault="00000000">
      <w:pPr>
        <w:pStyle w:val="3"/>
        <w:spacing w:line="280" w:lineRule="exact"/>
        <w:jc w:val="left"/>
        <w:rPr>
          <w:rFonts w:ascii="宋体" w:hAnsi="宋体" w:cs="宋体" w:hint="eastAsia"/>
          <w:b/>
          <w:bCs/>
        </w:rPr>
      </w:pPr>
      <w:bookmarkStart w:id="3" w:name="_Toc988892"/>
      <w:r>
        <w:rPr>
          <w:rFonts w:ascii="宋体" w:hAnsi="宋体" w:cs="宋体"/>
          <w:b/>
          <w:bCs/>
        </w:rPr>
        <w:t>2、主要会计数据和财务指标</w:t>
      </w:r>
      <w:bookmarkEnd w:id="3"/>
    </w:p>
    <w:p w14:paraId="73851F8E" w14:textId="77777777" w:rsidR="00FB411C" w:rsidRDefault="00000000">
      <w:pPr>
        <w:spacing w:after="0" w:line="240" w:lineRule="exac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>公司是否需追溯调整或重述以前年度会计数据</w:t>
      </w:r>
    </w:p>
    <w:p w14:paraId="55187B5A" w14:textId="77777777" w:rsidR="00FB411C" w:rsidRDefault="00000000">
      <w:pPr>
        <w:spacing w:before="40" w:after="40" w:line="240" w:lineRule="exac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 xml:space="preserve">□是 </w:t>
      </w:r>
      <w:r>
        <w:rPr>
          <w:rFonts w:ascii="宋体" w:eastAsia="宋体" w:hAnsi="宋体" w:cs="宋体"/>
          <w:sz w:val="18"/>
          <w:szCs w:val="18"/>
        </w:rPr>
        <w:sym w:font="Wingdings 2" w:char="F052"/>
      </w:r>
      <w:r>
        <w:rPr>
          <w:rFonts w:ascii="宋体" w:eastAsia="宋体" w:hAnsi="宋体" w:cs="宋体"/>
          <w:sz w:val="18"/>
          <w:szCs w:val="18"/>
        </w:rPr>
        <w:t>否</w:t>
      </w:r>
    </w:p>
    <w:tbl>
      <w:tblPr>
        <w:tblW w:w="9639" w:type="dxa"/>
        <w:tblInd w:w="108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55"/>
        <w:gridCol w:w="1928"/>
        <w:gridCol w:w="1928"/>
        <w:gridCol w:w="1928"/>
      </w:tblGrid>
      <w:tr w:rsidR="00FB411C" w14:paraId="0EA3CAA8" w14:textId="77777777">
        <w:trPr>
          <w:trHeight w:val="240"/>
        </w:trPr>
        <w:tc>
          <w:tcPr>
            <w:tcW w:w="3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274113C6" w14:textId="77777777" w:rsidR="00FB411C" w:rsidRDefault="00FB411C">
            <w:pPr>
              <w:rPr>
                <w:rFonts w:hint="eastAsia"/>
              </w:rPr>
            </w:pP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06A051E0" w14:textId="77777777" w:rsidR="00FB411C" w:rsidRDefault="00000000">
            <w:pPr>
              <w:spacing w:before="40" w:after="40" w:line="240" w:lineRule="exact"/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本报告期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4F71A1AA" w14:textId="77777777" w:rsidR="00FB411C" w:rsidRDefault="00000000">
            <w:pPr>
              <w:spacing w:before="40" w:after="40" w:line="240" w:lineRule="exact"/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上年同期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5553E5CD" w14:textId="77777777" w:rsidR="00FB411C" w:rsidRDefault="00000000">
            <w:pPr>
              <w:spacing w:before="40" w:after="40" w:line="240" w:lineRule="exact"/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本报告期比上年同期增减</w:t>
            </w:r>
          </w:p>
        </w:tc>
      </w:tr>
      <w:tr w:rsidR="00FB411C" w14:paraId="75EC22E5" w14:textId="77777777">
        <w:trPr>
          <w:trHeight w:val="240"/>
        </w:trPr>
        <w:tc>
          <w:tcPr>
            <w:tcW w:w="3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3CA25910" w14:textId="77777777" w:rsidR="00FB411C" w:rsidRDefault="00000000">
            <w:pPr>
              <w:spacing w:before="40" w:after="4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营业收入（元）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B3F7FF9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852,664,161.57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1D400A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794,111,736.95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32E652D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7.37%</w:t>
            </w:r>
          </w:p>
        </w:tc>
      </w:tr>
      <w:tr w:rsidR="00FB411C" w14:paraId="6AEE2358" w14:textId="77777777">
        <w:trPr>
          <w:trHeight w:val="240"/>
        </w:trPr>
        <w:tc>
          <w:tcPr>
            <w:tcW w:w="3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7F03AA31" w14:textId="77777777" w:rsidR="00FB411C" w:rsidRDefault="00000000">
            <w:pPr>
              <w:spacing w:before="40" w:after="4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归属于上市公司股东的净利润（元）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A51582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47,811,901.91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36F1DF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51,965,070.43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E9C316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-7.99%</w:t>
            </w:r>
          </w:p>
        </w:tc>
      </w:tr>
      <w:tr w:rsidR="00FB411C" w14:paraId="6C73C81B" w14:textId="77777777">
        <w:trPr>
          <w:trHeight w:val="240"/>
        </w:trPr>
        <w:tc>
          <w:tcPr>
            <w:tcW w:w="3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4CCEC694" w14:textId="77777777" w:rsidR="00FB411C" w:rsidRDefault="00000000">
            <w:pPr>
              <w:spacing w:before="40" w:after="4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lastRenderedPageBreak/>
              <w:t>归属于上市公司股东的扣除非经常性损益的净利润（元）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3A4ECEA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39,534,752.64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219BFB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50,529,405.23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69D741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-21.76%</w:t>
            </w:r>
          </w:p>
        </w:tc>
      </w:tr>
      <w:tr w:rsidR="00FB411C" w14:paraId="391B328F" w14:textId="77777777">
        <w:trPr>
          <w:trHeight w:val="240"/>
        </w:trPr>
        <w:tc>
          <w:tcPr>
            <w:tcW w:w="3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30D09870" w14:textId="77777777" w:rsidR="00FB411C" w:rsidRDefault="00000000">
            <w:pPr>
              <w:spacing w:before="40" w:after="4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经营活动产生的现金流量净额（元）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74D86E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17,991,770.27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9FC257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-50,802,996.18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EF36EF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135.41%</w:t>
            </w:r>
          </w:p>
        </w:tc>
      </w:tr>
      <w:tr w:rsidR="00FB411C" w14:paraId="64AFF8FC" w14:textId="77777777">
        <w:trPr>
          <w:trHeight w:val="240"/>
        </w:trPr>
        <w:tc>
          <w:tcPr>
            <w:tcW w:w="3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636F7994" w14:textId="77777777" w:rsidR="00FB411C" w:rsidRDefault="00000000">
            <w:pPr>
              <w:spacing w:before="40" w:after="4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基本每股收益（元/股）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98169B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0.2167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A80B1A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0.236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BED9A1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-8.18%</w:t>
            </w:r>
          </w:p>
        </w:tc>
      </w:tr>
      <w:tr w:rsidR="00FB411C" w14:paraId="3432BD1F" w14:textId="77777777">
        <w:trPr>
          <w:trHeight w:val="240"/>
        </w:trPr>
        <w:tc>
          <w:tcPr>
            <w:tcW w:w="3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4DEFD35B" w14:textId="77777777" w:rsidR="00FB411C" w:rsidRDefault="00000000">
            <w:pPr>
              <w:spacing w:before="40" w:after="4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稀释每股收益（元/股）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8C34E9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0.2167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D682DF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0.236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D676FA3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-8.18%</w:t>
            </w:r>
          </w:p>
        </w:tc>
      </w:tr>
      <w:tr w:rsidR="00FB411C" w14:paraId="7E70E37E" w14:textId="77777777">
        <w:trPr>
          <w:trHeight w:val="240"/>
        </w:trPr>
        <w:tc>
          <w:tcPr>
            <w:tcW w:w="3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198E2050" w14:textId="77777777" w:rsidR="00FB411C" w:rsidRDefault="00000000">
            <w:pPr>
              <w:spacing w:before="40" w:after="4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加权平均净资产收益率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7A4C90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3.48%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D836A8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3.91%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B5BF18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-0.43%</w:t>
            </w:r>
          </w:p>
        </w:tc>
      </w:tr>
      <w:tr w:rsidR="00FB411C" w14:paraId="59254AFD" w14:textId="77777777">
        <w:trPr>
          <w:trHeight w:val="240"/>
        </w:trPr>
        <w:tc>
          <w:tcPr>
            <w:tcW w:w="3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4BD44891" w14:textId="77777777" w:rsidR="00FB411C" w:rsidRDefault="00FB411C">
            <w:pPr>
              <w:rPr>
                <w:rFonts w:hint="eastAsia"/>
              </w:rPr>
            </w:pP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29F0BCD1" w14:textId="77777777" w:rsidR="00FB411C" w:rsidRDefault="00000000">
            <w:pPr>
              <w:spacing w:before="40" w:after="40" w:line="240" w:lineRule="exact"/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本报告期末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1388651C" w14:textId="77777777" w:rsidR="00FB411C" w:rsidRDefault="00000000">
            <w:pPr>
              <w:spacing w:before="40" w:after="40" w:line="240" w:lineRule="exact"/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上年度末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729BAC13" w14:textId="77777777" w:rsidR="00FB411C" w:rsidRDefault="00000000">
            <w:pPr>
              <w:spacing w:before="40" w:after="40" w:line="240" w:lineRule="exact"/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本报告期末比上年度末增减</w:t>
            </w:r>
          </w:p>
        </w:tc>
      </w:tr>
      <w:tr w:rsidR="00FB411C" w14:paraId="54D84AA1" w14:textId="77777777">
        <w:trPr>
          <w:trHeight w:val="240"/>
        </w:trPr>
        <w:tc>
          <w:tcPr>
            <w:tcW w:w="3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06BAAFF1" w14:textId="77777777" w:rsidR="00FB411C" w:rsidRDefault="00000000">
            <w:pPr>
              <w:spacing w:before="40" w:after="4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总资产（元）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FC76D5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2,870,191,921.86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A67B1C0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2,793,295,517.23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71B13EE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2.75%</w:t>
            </w:r>
          </w:p>
        </w:tc>
      </w:tr>
      <w:tr w:rsidR="00FB411C" w14:paraId="05AFE416" w14:textId="77777777">
        <w:trPr>
          <w:trHeight w:val="240"/>
        </w:trPr>
        <w:tc>
          <w:tcPr>
            <w:tcW w:w="3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08B3F309" w14:textId="77777777" w:rsidR="00FB411C" w:rsidRDefault="00000000">
            <w:pPr>
              <w:spacing w:before="40" w:after="4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归属于上市公司股东的净资产（元）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7F4D00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1,390,265,322.12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0B9E3B4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1,351,352,968.51</w:t>
            </w:r>
          </w:p>
        </w:tc>
        <w:tc>
          <w:tcPr>
            <w:tcW w:w="1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6116AD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2.88%</w:t>
            </w:r>
          </w:p>
        </w:tc>
      </w:tr>
    </w:tbl>
    <w:p w14:paraId="47CDDAF6" w14:textId="77777777" w:rsidR="00FB411C" w:rsidRDefault="00000000">
      <w:pPr>
        <w:pStyle w:val="3"/>
        <w:spacing w:line="280" w:lineRule="exact"/>
        <w:jc w:val="left"/>
        <w:rPr>
          <w:rFonts w:ascii="宋体" w:hAnsi="宋体" w:cs="宋体" w:hint="eastAsia"/>
          <w:b/>
          <w:bCs/>
        </w:rPr>
      </w:pPr>
      <w:bookmarkStart w:id="4" w:name="_Toc988893"/>
      <w:r>
        <w:rPr>
          <w:rFonts w:ascii="宋体" w:hAnsi="宋体" w:cs="宋体"/>
          <w:b/>
          <w:bCs/>
        </w:rPr>
        <w:t>3、公司股东数量及持股情况</w:t>
      </w:r>
      <w:bookmarkEnd w:id="4"/>
    </w:p>
    <w:p w14:paraId="3F55E755" w14:textId="77777777" w:rsidR="00FB411C" w:rsidRDefault="00000000">
      <w:pPr>
        <w:spacing w:before="120" w:after="120" w:line="240" w:lineRule="exact"/>
        <w:jc w:val="righ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>单位：股</w:t>
      </w:r>
    </w:p>
    <w:tbl>
      <w:tblPr>
        <w:tblW w:w="9639" w:type="dxa"/>
        <w:tblInd w:w="108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1"/>
        <w:gridCol w:w="1071"/>
        <w:gridCol w:w="1071"/>
        <w:gridCol w:w="1071"/>
        <w:gridCol w:w="1071"/>
        <w:gridCol w:w="2142"/>
        <w:gridCol w:w="1071"/>
        <w:gridCol w:w="1071"/>
      </w:tblGrid>
      <w:tr w:rsidR="00FB411C" w14:paraId="7C313E68" w14:textId="77777777">
        <w:trPr>
          <w:trHeight w:val="240"/>
        </w:trPr>
        <w:tc>
          <w:tcPr>
            <w:tcW w:w="214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5D988B28" w14:textId="77777777" w:rsidR="00FB411C" w:rsidRDefault="00000000">
            <w:pPr>
              <w:spacing w:before="40" w:after="4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报告期末普通股股东总数</w:t>
            </w:r>
          </w:p>
        </w:tc>
        <w:tc>
          <w:tcPr>
            <w:tcW w:w="214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1F7139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14,707</w:t>
            </w:r>
          </w:p>
        </w:tc>
        <w:tc>
          <w:tcPr>
            <w:tcW w:w="321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11475C92" w14:textId="77777777" w:rsidR="00FB411C" w:rsidRDefault="00000000">
            <w:pPr>
              <w:spacing w:before="40" w:after="4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报告期末表决权恢复的优先股股东总数（如有）</w:t>
            </w:r>
          </w:p>
        </w:tc>
        <w:tc>
          <w:tcPr>
            <w:tcW w:w="214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B6FDBD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</w:t>
            </w:r>
          </w:p>
        </w:tc>
      </w:tr>
      <w:tr w:rsidR="00FB411C" w14:paraId="51EEA69F" w14:textId="77777777">
        <w:trPr>
          <w:trHeight w:val="240"/>
        </w:trPr>
        <w:tc>
          <w:tcPr>
            <w:tcW w:w="9639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08341AA3" w14:textId="77777777" w:rsidR="00FB411C" w:rsidRDefault="00000000">
            <w:pPr>
              <w:spacing w:before="40" w:after="40" w:line="240" w:lineRule="exact"/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前10名股东持股情况（不含通过转融通出借股份）</w:t>
            </w:r>
          </w:p>
        </w:tc>
      </w:tr>
      <w:tr w:rsidR="00FB411C" w14:paraId="4FD6EC5C" w14:textId="77777777">
        <w:trPr>
          <w:trHeight w:val="240"/>
        </w:trPr>
        <w:tc>
          <w:tcPr>
            <w:tcW w:w="107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4B7AFF92" w14:textId="77777777" w:rsidR="00FB411C" w:rsidRDefault="00000000">
            <w:pPr>
              <w:spacing w:before="40" w:after="40" w:line="240" w:lineRule="exact"/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股东名称</w:t>
            </w:r>
          </w:p>
        </w:tc>
        <w:tc>
          <w:tcPr>
            <w:tcW w:w="107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48AB6DC3" w14:textId="77777777" w:rsidR="00FB411C" w:rsidRDefault="00000000">
            <w:pPr>
              <w:spacing w:before="40" w:after="40" w:line="240" w:lineRule="exact"/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股东性质</w:t>
            </w:r>
          </w:p>
        </w:tc>
        <w:tc>
          <w:tcPr>
            <w:tcW w:w="107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739EB6FD" w14:textId="77777777" w:rsidR="00FB411C" w:rsidRDefault="00000000">
            <w:pPr>
              <w:spacing w:before="40" w:after="40" w:line="240" w:lineRule="exact"/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持股比例</w:t>
            </w:r>
          </w:p>
        </w:tc>
        <w:tc>
          <w:tcPr>
            <w:tcW w:w="2142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2ADF105B" w14:textId="77777777" w:rsidR="00FB411C" w:rsidRDefault="00000000">
            <w:pPr>
              <w:spacing w:before="40" w:after="40" w:line="240" w:lineRule="exact"/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持股数量</w:t>
            </w:r>
          </w:p>
        </w:tc>
        <w:tc>
          <w:tcPr>
            <w:tcW w:w="214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4A83440E" w14:textId="77777777" w:rsidR="00FB411C" w:rsidRDefault="00000000">
            <w:pPr>
              <w:spacing w:before="40" w:after="40" w:line="240" w:lineRule="exact"/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持有有限售条件的股份数量</w:t>
            </w:r>
          </w:p>
        </w:tc>
        <w:tc>
          <w:tcPr>
            <w:tcW w:w="214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28D6B47D" w14:textId="77777777" w:rsidR="00FB411C" w:rsidRDefault="00000000">
            <w:pPr>
              <w:spacing w:before="40" w:after="40" w:line="240" w:lineRule="exact"/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质押、标记或冻结情况</w:t>
            </w:r>
          </w:p>
        </w:tc>
      </w:tr>
      <w:tr w:rsidR="00FB411C" w14:paraId="024366BC" w14:textId="77777777">
        <w:trPr>
          <w:trHeight w:val="240"/>
        </w:trPr>
        <w:tc>
          <w:tcPr>
            <w:tcW w:w="107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0336742C" w14:textId="77777777" w:rsidR="00FB411C" w:rsidRDefault="00FB411C">
            <w:pPr>
              <w:rPr>
                <w:rFonts w:hint="eastAsia"/>
              </w:rPr>
            </w:pPr>
          </w:p>
        </w:tc>
        <w:tc>
          <w:tcPr>
            <w:tcW w:w="107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5B135AEE" w14:textId="77777777" w:rsidR="00FB411C" w:rsidRDefault="00FB411C">
            <w:pPr>
              <w:rPr>
                <w:rFonts w:hint="eastAsia"/>
              </w:rPr>
            </w:pPr>
          </w:p>
        </w:tc>
        <w:tc>
          <w:tcPr>
            <w:tcW w:w="107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109436FB" w14:textId="77777777" w:rsidR="00FB411C" w:rsidRDefault="00FB411C">
            <w:pPr>
              <w:rPr>
                <w:rFonts w:hint="eastAsia"/>
              </w:rPr>
            </w:pPr>
          </w:p>
        </w:tc>
        <w:tc>
          <w:tcPr>
            <w:tcW w:w="2142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210DEF7C" w14:textId="77777777" w:rsidR="00FB411C" w:rsidRDefault="00FB411C">
            <w:pPr>
              <w:rPr>
                <w:rFonts w:hint="eastAsia"/>
              </w:rPr>
            </w:pPr>
          </w:p>
        </w:tc>
        <w:tc>
          <w:tcPr>
            <w:tcW w:w="214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2EA939A5" w14:textId="77777777" w:rsidR="00FB411C" w:rsidRDefault="00FB411C">
            <w:pPr>
              <w:rPr>
                <w:rFonts w:hint="eastAsia"/>
              </w:rPr>
            </w:pP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2D15415D" w14:textId="77777777" w:rsidR="00FB411C" w:rsidRDefault="00000000">
            <w:pPr>
              <w:spacing w:before="40" w:after="40" w:line="240" w:lineRule="exact"/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股份状态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23795F22" w14:textId="77777777" w:rsidR="00FB411C" w:rsidRDefault="00000000">
            <w:pPr>
              <w:spacing w:before="40" w:after="40" w:line="240" w:lineRule="exact"/>
              <w:jc w:val="center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数量</w:t>
            </w:r>
          </w:p>
        </w:tc>
      </w:tr>
      <w:tr w:rsidR="00FB411C" w14:paraId="24401ABE" w14:textId="77777777">
        <w:trPr>
          <w:trHeight w:val="240"/>
        </w:trPr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C8E36E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黄文谦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C9E874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境内自然人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E76D7F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14.02%</w:t>
            </w:r>
          </w:p>
        </w:tc>
        <w:tc>
          <w:tcPr>
            <w:tcW w:w="214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60ACA6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30,930,530</w:t>
            </w:r>
          </w:p>
        </w:tc>
        <w:tc>
          <w:tcPr>
            <w:tcW w:w="21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FCC64E6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F47AA7D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不适用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B645C93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</w:t>
            </w:r>
          </w:p>
        </w:tc>
      </w:tr>
      <w:tr w:rsidR="00FB411C" w14:paraId="33A0A4D5" w14:textId="77777777">
        <w:trPr>
          <w:trHeight w:val="240"/>
        </w:trPr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4EAC5C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青岛芯忠臻智能科技合伙企业（有限合伙）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7372E3F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境内非国有法人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AF60526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5.29%</w:t>
            </w:r>
          </w:p>
        </w:tc>
        <w:tc>
          <w:tcPr>
            <w:tcW w:w="214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B30499D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11,670,363</w:t>
            </w:r>
          </w:p>
        </w:tc>
        <w:tc>
          <w:tcPr>
            <w:tcW w:w="21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84D876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1710B32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不适用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C75F53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</w:t>
            </w:r>
          </w:p>
        </w:tc>
      </w:tr>
      <w:tr w:rsidR="00FB411C" w14:paraId="1A40EC7A" w14:textId="77777777">
        <w:trPr>
          <w:trHeight w:val="240"/>
        </w:trPr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E04344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深圳市中燃科技有限公司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8150E9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境内非国有法人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09BFE0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4.99%</w:t>
            </w:r>
          </w:p>
        </w:tc>
        <w:tc>
          <w:tcPr>
            <w:tcW w:w="214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712EE4A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11,009,637</w:t>
            </w:r>
          </w:p>
        </w:tc>
        <w:tc>
          <w:tcPr>
            <w:tcW w:w="21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4C2E5F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9BFA23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不适用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7D7BB80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</w:t>
            </w:r>
          </w:p>
        </w:tc>
      </w:tr>
      <w:tr w:rsidR="00FB411C" w14:paraId="7B389173" w14:textId="77777777">
        <w:trPr>
          <w:trHeight w:val="240"/>
        </w:trPr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7BCC908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中国银河证券股份有限公司约定购回专用账户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79010A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其他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299AE6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1.93%</w:t>
            </w:r>
          </w:p>
        </w:tc>
        <w:tc>
          <w:tcPr>
            <w:tcW w:w="214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284139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4,259,300</w:t>
            </w:r>
          </w:p>
        </w:tc>
        <w:tc>
          <w:tcPr>
            <w:tcW w:w="21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35AEF1E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2940959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不适用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375EB2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</w:t>
            </w:r>
          </w:p>
        </w:tc>
      </w:tr>
      <w:tr w:rsidR="00FB411C" w14:paraId="762CAC8F" w14:textId="77777777">
        <w:trPr>
          <w:trHeight w:val="240"/>
        </w:trPr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430F139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杨平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A2E8B5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境内自然人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C628CB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1.15%</w:t>
            </w:r>
          </w:p>
        </w:tc>
        <w:tc>
          <w:tcPr>
            <w:tcW w:w="214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17C0B4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2,545,000</w:t>
            </w:r>
          </w:p>
        </w:tc>
        <w:tc>
          <w:tcPr>
            <w:tcW w:w="21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485B68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1E79075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不适用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9D8CBB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</w:t>
            </w:r>
          </w:p>
        </w:tc>
      </w:tr>
      <w:tr w:rsidR="00FB411C" w14:paraId="69DC7324" w14:textId="77777777">
        <w:trPr>
          <w:trHeight w:val="240"/>
        </w:trPr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AE4E6DB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范慧群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A79319B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境内自然人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70DD2E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1.01%</w:t>
            </w:r>
          </w:p>
        </w:tc>
        <w:tc>
          <w:tcPr>
            <w:tcW w:w="214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E1E755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2,225,100</w:t>
            </w:r>
          </w:p>
        </w:tc>
        <w:tc>
          <w:tcPr>
            <w:tcW w:w="21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F747582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1CCB698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不适用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585D22A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</w:t>
            </w:r>
          </w:p>
        </w:tc>
      </w:tr>
      <w:tr w:rsidR="00FB411C" w14:paraId="49B3343B" w14:textId="77777777">
        <w:trPr>
          <w:trHeight w:val="240"/>
        </w:trPr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93A1CC5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张晓华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56E9299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境外自然人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FADA0B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0.83%</w:t>
            </w:r>
          </w:p>
        </w:tc>
        <w:tc>
          <w:tcPr>
            <w:tcW w:w="214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8B7F08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1,838,200</w:t>
            </w:r>
          </w:p>
        </w:tc>
        <w:tc>
          <w:tcPr>
            <w:tcW w:w="21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1954818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6FBBA07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不适用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1C7B4D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</w:t>
            </w:r>
          </w:p>
        </w:tc>
      </w:tr>
      <w:tr w:rsidR="00FB411C" w14:paraId="56C11FFE" w14:textId="77777777">
        <w:trPr>
          <w:trHeight w:val="240"/>
        </w:trPr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E78DA0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唐春燕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313D4C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境内自然人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093DFD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0.80%</w:t>
            </w:r>
          </w:p>
        </w:tc>
        <w:tc>
          <w:tcPr>
            <w:tcW w:w="214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9BE149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1,762,010</w:t>
            </w:r>
          </w:p>
        </w:tc>
        <w:tc>
          <w:tcPr>
            <w:tcW w:w="21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1E8735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35E65B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不适用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D2EC54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</w:t>
            </w:r>
          </w:p>
        </w:tc>
      </w:tr>
      <w:tr w:rsidR="00FB411C" w14:paraId="37B75504" w14:textId="77777777">
        <w:trPr>
          <w:trHeight w:val="240"/>
        </w:trPr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9F52612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四川发展证券投资基金管理有限公司－川发价值1号私募证券投资基金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C24F5D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其他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6B7FEC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0.80%</w:t>
            </w:r>
          </w:p>
        </w:tc>
        <w:tc>
          <w:tcPr>
            <w:tcW w:w="214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17521C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1,754,600</w:t>
            </w:r>
          </w:p>
        </w:tc>
        <w:tc>
          <w:tcPr>
            <w:tcW w:w="21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1B5B9B1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A173A5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不适用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3DE718E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</w:t>
            </w:r>
          </w:p>
        </w:tc>
      </w:tr>
      <w:tr w:rsidR="00FB411C" w14:paraId="7DF26A12" w14:textId="77777777">
        <w:trPr>
          <w:trHeight w:val="240"/>
        </w:trPr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F453AD2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高盛国际－自有资</w:t>
            </w:r>
            <w:r>
              <w:rPr>
                <w:rFonts w:ascii="宋体" w:eastAsia="宋体" w:hAnsi="宋体" w:cs="宋体"/>
                <w:sz w:val="18"/>
                <w:szCs w:val="18"/>
              </w:rPr>
              <w:lastRenderedPageBreak/>
              <w:t>金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DEE3EE3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lastRenderedPageBreak/>
              <w:t>境外法人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EF77EF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0.70%</w:t>
            </w:r>
          </w:p>
        </w:tc>
        <w:tc>
          <w:tcPr>
            <w:tcW w:w="214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D8F432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1,537,536</w:t>
            </w:r>
          </w:p>
        </w:tc>
        <w:tc>
          <w:tcPr>
            <w:tcW w:w="21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1D2357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E1A025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不适用</w:t>
            </w:r>
          </w:p>
        </w:tc>
        <w:tc>
          <w:tcPr>
            <w:tcW w:w="10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C94F43" w14:textId="77777777" w:rsidR="00FB411C" w:rsidRDefault="00000000">
            <w:pPr>
              <w:spacing w:after="0" w:line="240" w:lineRule="exact"/>
              <w:jc w:val="righ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0</w:t>
            </w:r>
          </w:p>
        </w:tc>
      </w:tr>
      <w:tr w:rsidR="00FB411C" w14:paraId="537B856F" w14:textId="77777777">
        <w:trPr>
          <w:trHeight w:val="240"/>
        </w:trPr>
        <w:tc>
          <w:tcPr>
            <w:tcW w:w="214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57DC1F3C" w14:textId="77777777" w:rsidR="00FB411C" w:rsidRDefault="00000000">
            <w:pPr>
              <w:spacing w:before="40" w:after="4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上述股东关联关系或一致行动的说明</w:t>
            </w:r>
          </w:p>
        </w:tc>
        <w:tc>
          <w:tcPr>
            <w:tcW w:w="749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A733D0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公司未知其是否存在关联关系或为一致行动人</w:t>
            </w:r>
          </w:p>
        </w:tc>
      </w:tr>
      <w:tr w:rsidR="00FB411C" w14:paraId="57734EC1" w14:textId="77777777">
        <w:trPr>
          <w:trHeight w:val="240"/>
        </w:trPr>
        <w:tc>
          <w:tcPr>
            <w:tcW w:w="214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3D3D3"/>
            <w:vAlign w:val="center"/>
          </w:tcPr>
          <w:p w14:paraId="44BAC91E" w14:textId="77777777" w:rsidR="00FB411C" w:rsidRDefault="00000000">
            <w:pPr>
              <w:spacing w:before="40" w:after="4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参与融资融券业务股东情况说明（如有）</w:t>
            </w:r>
          </w:p>
        </w:tc>
        <w:tc>
          <w:tcPr>
            <w:tcW w:w="7497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C25CEA" w14:textId="77777777" w:rsidR="00FB411C" w:rsidRDefault="00000000">
            <w:pPr>
              <w:spacing w:after="0" w:line="240" w:lineRule="exact"/>
              <w:rPr>
                <w:rFonts w:ascii="宋体" w:eastAsia="宋体" w:hAnsi="宋体" w:cs="宋体" w:hint="eastAsia"/>
                <w:sz w:val="18"/>
                <w:szCs w:val="18"/>
              </w:rPr>
            </w:pPr>
            <w:r>
              <w:rPr>
                <w:rFonts w:ascii="宋体" w:eastAsia="宋体" w:hAnsi="宋体" w:cs="宋体"/>
                <w:sz w:val="18"/>
                <w:szCs w:val="18"/>
              </w:rPr>
              <w:t>不适用</w:t>
            </w:r>
          </w:p>
        </w:tc>
      </w:tr>
    </w:tbl>
    <w:p w14:paraId="7DA12278" w14:textId="77777777" w:rsidR="00FB411C" w:rsidRDefault="00000000">
      <w:pPr>
        <w:spacing w:before="100" w:after="100" w:line="240" w:lineRule="exac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>持股5%以上股东、前10名股东及前10名无限售流通股股东参与转融通业务出借股份情况</w:t>
      </w:r>
    </w:p>
    <w:p w14:paraId="29B44610" w14:textId="77777777" w:rsidR="00FB411C" w:rsidRDefault="00000000">
      <w:pPr>
        <w:spacing w:after="0" w:line="240" w:lineRule="exac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 xml:space="preserve">□适用 </w:t>
      </w:r>
      <w:r>
        <w:rPr>
          <w:rFonts w:ascii="宋体" w:eastAsia="宋体" w:hAnsi="宋体" w:cs="宋体"/>
          <w:sz w:val="18"/>
          <w:szCs w:val="18"/>
        </w:rPr>
        <w:sym w:font="Wingdings 2" w:char="F052"/>
      </w:r>
      <w:r>
        <w:rPr>
          <w:rFonts w:ascii="宋体" w:eastAsia="宋体" w:hAnsi="宋体" w:cs="宋体"/>
          <w:sz w:val="18"/>
          <w:szCs w:val="18"/>
        </w:rPr>
        <w:t>不适用</w:t>
      </w:r>
    </w:p>
    <w:p w14:paraId="03F0A005" w14:textId="77777777" w:rsidR="00FB411C" w:rsidRDefault="00000000">
      <w:pPr>
        <w:spacing w:before="100" w:after="100" w:line="240" w:lineRule="exac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>前10名股东及前10名无限售流通股股东因转融通出借/归还原因导致较上期发生变化</w:t>
      </w:r>
    </w:p>
    <w:p w14:paraId="413788E1" w14:textId="77777777" w:rsidR="00FB411C" w:rsidRDefault="00000000">
      <w:pPr>
        <w:spacing w:after="0" w:line="240" w:lineRule="exac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 xml:space="preserve">□适用 </w:t>
      </w:r>
      <w:r>
        <w:rPr>
          <w:rFonts w:ascii="宋体" w:eastAsia="宋体" w:hAnsi="宋体" w:cs="宋体"/>
          <w:sz w:val="18"/>
          <w:szCs w:val="18"/>
        </w:rPr>
        <w:sym w:font="Wingdings 2" w:char="F052"/>
      </w:r>
      <w:r>
        <w:rPr>
          <w:rFonts w:ascii="宋体" w:eastAsia="宋体" w:hAnsi="宋体" w:cs="宋体"/>
          <w:sz w:val="18"/>
          <w:szCs w:val="18"/>
        </w:rPr>
        <w:t>不适用</w:t>
      </w:r>
    </w:p>
    <w:p w14:paraId="0A8AE7E6" w14:textId="77777777" w:rsidR="00FB411C" w:rsidRDefault="00000000">
      <w:pPr>
        <w:pStyle w:val="3"/>
        <w:spacing w:line="280" w:lineRule="exact"/>
        <w:jc w:val="left"/>
        <w:rPr>
          <w:rFonts w:ascii="宋体" w:hAnsi="宋体" w:cs="宋体" w:hint="eastAsia"/>
          <w:b/>
          <w:bCs/>
        </w:rPr>
      </w:pPr>
      <w:bookmarkStart w:id="5" w:name="_Toc988894"/>
      <w:r>
        <w:rPr>
          <w:rFonts w:ascii="宋体" w:hAnsi="宋体" w:cs="宋体"/>
          <w:b/>
          <w:bCs/>
        </w:rPr>
        <w:t>4、控股股东或实际控制人变更情况</w:t>
      </w:r>
      <w:bookmarkEnd w:id="5"/>
    </w:p>
    <w:p w14:paraId="0DEF12F6" w14:textId="77777777" w:rsidR="00FB411C" w:rsidRDefault="00000000">
      <w:pPr>
        <w:spacing w:before="40" w:after="40" w:line="240" w:lineRule="exac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>控股股东报告期内变更</w:t>
      </w:r>
    </w:p>
    <w:p w14:paraId="27B727E2" w14:textId="77777777" w:rsidR="00FB411C" w:rsidRDefault="00000000">
      <w:pPr>
        <w:spacing w:before="40" w:after="40" w:line="240" w:lineRule="exac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 xml:space="preserve">□适用 </w:t>
      </w:r>
      <w:r>
        <w:rPr>
          <w:rFonts w:ascii="宋体" w:eastAsia="宋体" w:hAnsi="宋体" w:cs="宋体"/>
          <w:sz w:val="18"/>
          <w:szCs w:val="18"/>
        </w:rPr>
        <w:sym w:font="Wingdings 2" w:char="F052"/>
      </w:r>
      <w:r>
        <w:rPr>
          <w:rFonts w:ascii="宋体" w:eastAsia="宋体" w:hAnsi="宋体" w:cs="宋体"/>
          <w:sz w:val="18"/>
          <w:szCs w:val="18"/>
        </w:rPr>
        <w:t>不适用</w:t>
      </w:r>
    </w:p>
    <w:p w14:paraId="3881CBA3" w14:textId="77777777" w:rsidR="00FB411C" w:rsidRDefault="00000000">
      <w:pPr>
        <w:spacing w:before="40" w:after="40" w:line="240" w:lineRule="exac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>公司报告期控股股东未发生变更。</w:t>
      </w:r>
    </w:p>
    <w:p w14:paraId="666E1171" w14:textId="77777777" w:rsidR="00FB411C" w:rsidRDefault="00000000">
      <w:pPr>
        <w:spacing w:before="100" w:after="100" w:line="240" w:lineRule="exac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>实际控制人报告期内变更</w:t>
      </w:r>
    </w:p>
    <w:p w14:paraId="27A0051A" w14:textId="77777777" w:rsidR="00FB411C" w:rsidRDefault="00000000">
      <w:pPr>
        <w:spacing w:before="40" w:after="40" w:line="240" w:lineRule="exac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 xml:space="preserve">□适用 </w:t>
      </w:r>
      <w:r>
        <w:rPr>
          <w:rFonts w:ascii="宋体" w:eastAsia="宋体" w:hAnsi="宋体" w:cs="宋体"/>
          <w:sz w:val="18"/>
          <w:szCs w:val="18"/>
        </w:rPr>
        <w:sym w:font="Wingdings 2" w:char="F052"/>
      </w:r>
      <w:r>
        <w:rPr>
          <w:rFonts w:ascii="宋体" w:eastAsia="宋体" w:hAnsi="宋体" w:cs="宋体"/>
          <w:sz w:val="18"/>
          <w:szCs w:val="18"/>
        </w:rPr>
        <w:t>不适用</w:t>
      </w:r>
    </w:p>
    <w:p w14:paraId="40F0833F" w14:textId="77777777" w:rsidR="00FB411C" w:rsidRDefault="00000000">
      <w:pPr>
        <w:spacing w:before="40" w:after="40" w:line="240" w:lineRule="exac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>公司报告期实际控制人未发生变更。</w:t>
      </w:r>
    </w:p>
    <w:p w14:paraId="65E7E8B1" w14:textId="77777777" w:rsidR="00FB411C" w:rsidRDefault="00000000">
      <w:pPr>
        <w:pStyle w:val="3"/>
        <w:spacing w:line="280" w:lineRule="exact"/>
        <w:jc w:val="left"/>
        <w:rPr>
          <w:rFonts w:ascii="宋体" w:hAnsi="宋体" w:cs="宋体" w:hint="eastAsia"/>
          <w:b/>
          <w:bCs/>
        </w:rPr>
      </w:pPr>
      <w:bookmarkStart w:id="6" w:name="_Toc988895"/>
      <w:r>
        <w:rPr>
          <w:rFonts w:ascii="宋体" w:hAnsi="宋体" w:cs="宋体"/>
          <w:b/>
          <w:bCs/>
        </w:rPr>
        <w:t>5、公司优先股股东总数及前10名优先股股东持股情况表</w:t>
      </w:r>
      <w:bookmarkEnd w:id="6"/>
    </w:p>
    <w:p w14:paraId="0CD6C238" w14:textId="77777777" w:rsidR="00FB411C" w:rsidRDefault="00000000">
      <w:pPr>
        <w:spacing w:before="40" w:after="40" w:line="240" w:lineRule="exac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 xml:space="preserve">□适用 </w:t>
      </w:r>
      <w:r>
        <w:rPr>
          <w:rFonts w:ascii="宋体" w:eastAsia="宋体" w:hAnsi="宋体" w:cs="宋体"/>
          <w:sz w:val="18"/>
          <w:szCs w:val="18"/>
        </w:rPr>
        <w:sym w:font="Wingdings 2" w:char="F052"/>
      </w:r>
      <w:r>
        <w:rPr>
          <w:rFonts w:ascii="宋体" w:eastAsia="宋体" w:hAnsi="宋体" w:cs="宋体"/>
          <w:sz w:val="18"/>
          <w:szCs w:val="18"/>
        </w:rPr>
        <w:t>不适用</w:t>
      </w:r>
    </w:p>
    <w:p w14:paraId="25E591BF" w14:textId="77777777" w:rsidR="00FB411C" w:rsidRDefault="00000000">
      <w:pPr>
        <w:spacing w:after="0" w:line="240" w:lineRule="exac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>公司报告期无优先股股东持股情况。</w:t>
      </w:r>
    </w:p>
    <w:p w14:paraId="73151716" w14:textId="77777777" w:rsidR="00FB411C" w:rsidRDefault="00000000">
      <w:pPr>
        <w:pStyle w:val="3"/>
        <w:spacing w:line="280" w:lineRule="exact"/>
        <w:jc w:val="left"/>
        <w:rPr>
          <w:rFonts w:ascii="宋体" w:hAnsi="宋体" w:cs="宋体" w:hint="eastAsia"/>
          <w:b/>
          <w:bCs/>
        </w:rPr>
      </w:pPr>
      <w:bookmarkStart w:id="7" w:name="_Toc988896"/>
      <w:r>
        <w:rPr>
          <w:rFonts w:ascii="宋体" w:hAnsi="宋体" w:cs="宋体"/>
          <w:b/>
          <w:bCs/>
        </w:rPr>
        <w:t>6、在半年度报告批准报出日存续的债券情况</w:t>
      </w:r>
      <w:bookmarkEnd w:id="7"/>
    </w:p>
    <w:p w14:paraId="0B23AADF" w14:textId="77777777" w:rsidR="00FB411C" w:rsidRDefault="00000000">
      <w:pPr>
        <w:spacing w:before="40" w:after="40" w:line="240" w:lineRule="exact"/>
        <w:rPr>
          <w:rFonts w:ascii="宋体" w:eastAsia="宋体" w:hAnsi="宋体" w:cs="宋体" w:hint="eastAsia"/>
          <w:sz w:val="18"/>
          <w:szCs w:val="18"/>
        </w:rPr>
      </w:pPr>
      <w:r>
        <w:rPr>
          <w:rFonts w:ascii="宋体" w:eastAsia="宋体" w:hAnsi="宋体" w:cs="宋体"/>
          <w:sz w:val="18"/>
          <w:szCs w:val="18"/>
        </w:rPr>
        <w:t xml:space="preserve">□适用 </w:t>
      </w:r>
      <w:r>
        <w:rPr>
          <w:rFonts w:ascii="宋体" w:eastAsia="宋体" w:hAnsi="宋体" w:cs="宋体"/>
          <w:sz w:val="18"/>
          <w:szCs w:val="18"/>
        </w:rPr>
        <w:sym w:font="Wingdings 2" w:char="F052"/>
      </w:r>
      <w:r>
        <w:rPr>
          <w:rFonts w:ascii="宋体" w:eastAsia="宋体" w:hAnsi="宋体" w:cs="宋体"/>
          <w:sz w:val="18"/>
          <w:szCs w:val="18"/>
        </w:rPr>
        <w:t>不适用</w:t>
      </w:r>
    </w:p>
    <w:p w14:paraId="725ED47F" w14:textId="77777777" w:rsidR="00FB411C" w:rsidRDefault="00000000">
      <w:pPr>
        <w:pStyle w:val="2"/>
        <w:spacing w:before="300" w:after="300" w:line="320" w:lineRule="exact"/>
        <w:rPr>
          <w:rFonts w:ascii="宋体" w:eastAsia="宋体" w:hAnsi="宋体" w:cs="宋体" w:hint="eastAsia"/>
          <w:b/>
          <w:bCs/>
          <w:sz w:val="24"/>
          <w:szCs w:val="24"/>
        </w:rPr>
      </w:pPr>
      <w:bookmarkStart w:id="8" w:name="_Toc988897"/>
      <w:r>
        <w:rPr>
          <w:rFonts w:ascii="宋体" w:eastAsia="宋体" w:hAnsi="宋体" w:cs="宋体"/>
          <w:b/>
          <w:bCs/>
          <w:sz w:val="24"/>
          <w:szCs w:val="24"/>
        </w:rPr>
        <w:t>三、重要事项</w:t>
      </w:r>
      <w:bookmarkEnd w:id="8"/>
    </w:p>
    <w:p w14:paraId="3B0B01C6" w14:textId="77777777" w:rsidR="00000000" w:rsidRDefault="00000000">
      <w:pPr>
        <w:pStyle w:val="a3"/>
        <w:spacing w:before="0" w:beforeAutospacing="0" w:after="0" w:afterAutospacing="0"/>
        <w:ind w:firstLine="360"/>
        <w:divId w:val="1581065466"/>
        <w:rPr>
          <w:rFonts w:ascii="等线" w:eastAsia="等线" w:hAnsi="等线"/>
          <w:sz w:val="21"/>
          <w:szCs w:val="21"/>
        </w:rPr>
      </w:pPr>
      <w:r>
        <w:rPr>
          <w:rFonts w:hint="eastAsia"/>
          <w:color w:val="000000"/>
          <w:sz w:val="18"/>
          <w:szCs w:val="18"/>
        </w:rPr>
        <w:t>（一）成立控股子公司</w:t>
      </w:r>
    </w:p>
    <w:p w14:paraId="304FE9AA" w14:textId="77777777" w:rsidR="00000000" w:rsidRDefault="00000000">
      <w:pPr>
        <w:pStyle w:val="a3"/>
        <w:spacing w:before="0" w:beforeAutospacing="0" w:after="0" w:afterAutospacing="0"/>
        <w:ind w:firstLine="360"/>
        <w:divId w:val="1581065466"/>
        <w:rPr>
          <w:rFonts w:ascii="等线" w:eastAsia="等线" w:hAnsi="等线" w:hint="eastAsia"/>
          <w:sz w:val="21"/>
          <w:szCs w:val="21"/>
        </w:rPr>
      </w:pPr>
      <w:r>
        <w:rPr>
          <w:rFonts w:hint="eastAsia"/>
          <w:color w:val="000000"/>
          <w:sz w:val="18"/>
          <w:szCs w:val="18"/>
        </w:rPr>
        <w:t>1.公司于2026年1月正式注册成立杭州威盛机器人有限公司（因公司战略调整于2026年8月13日注销），主要从事：许可项目：特种设备制造（依法须经批准的项目，经相关部门批准后方可开展经营活动，具体经营项目以审批结果为准）。一般项目：特种设备、机械零部件、计算机软硬件研发、制造、销售、安装维修；人工智能、信息系统、软件技术开发与技术服务。注册资本1000万元，公司持股100%。</w:t>
      </w:r>
    </w:p>
    <w:p w14:paraId="04C3E558" w14:textId="77777777" w:rsidR="00000000" w:rsidRDefault="00000000">
      <w:pPr>
        <w:pStyle w:val="a3"/>
        <w:spacing w:before="0" w:beforeAutospacing="0" w:after="0" w:afterAutospacing="0"/>
        <w:ind w:firstLine="360"/>
        <w:divId w:val="1581065466"/>
        <w:rPr>
          <w:rFonts w:ascii="等线" w:eastAsia="等线" w:hAnsi="等线" w:hint="eastAsia"/>
          <w:sz w:val="21"/>
          <w:szCs w:val="21"/>
        </w:rPr>
      </w:pPr>
      <w:r>
        <w:rPr>
          <w:rFonts w:hint="eastAsia"/>
          <w:color w:val="000000"/>
          <w:sz w:val="18"/>
          <w:szCs w:val="18"/>
        </w:rPr>
        <w:t>2.公司于2026年3月正式注册成立杭州威见数字科技有限公司，主要从事：一般项目：数据处理、大数据、数字技术、数字内容制作（不含出版发行）、信息系统集成、工业设计服务；虚拟现实设备、导航测绘气象海洋专用仪器制造、销售；软件开发；技术开发、技术服务、技术咨询、技术转让。注册资本1,460万元，公司出资745万元，持股51.0274%。</w:t>
      </w:r>
    </w:p>
    <w:p w14:paraId="6A42187D" w14:textId="77777777" w:rsidR="00000000" w:rsidRDefault="00000000">
      <w:pPr>
        <w:pStyle w:val="a3"/>
        <w:spacing w:before="0" w:beforeAutospacing="0" w:after="0" w:afterAutospacing="0"/>
        <w:ind w:firstLine="360"/>
        <w:divId w:val="1581065466"/>
        <w:rPr>
          <w:rFonts w:ascii="等线" w:eastAsia="等线" w:hAnsi="等线" w:hint="eastAsia"/>
          <w:sz w:val="21"/>
          <w:szCs w:val="21"/>
        </w:rPr>
      </w:pPr>
      <w:r>
        <w:rPr>
          <w:rFonts w:hint="eastAsia"/>
          <w:color w:val="000000"/>
          <w:sz w:val="18"/>
          <w:szCs w:val="18"/>
        </w:rPr>
        <w:t>3.公司于2026年4月正式注册成立杭州威星数联技术有限公司，主要从事：一般项目：仪器仪表、计量终端、自控系统、物联网、通信、软硬件、阀门、电子元器件、机电及智能家居设备研发产销维保；软件与物联网技术开发、系统集成、数据服务；电池、电子材料、塑料制品销售；销售代理；设备、房屋租赁；劳务服务（不含劳务派遣）；货物进出口。许可项目：第二类增值电信业务（依法须经批准的项目，经相关部门批准后方可开展经营活动）。注册资本10,000万元，公司持股100%。</w:t>
      </w:r>
    </w:p>
    <w:p w14:paraId="04B2641B" w14:textId="77777777" w:rsidR="00000000" w:rsidRDefault="00000000">
      <w:pPr>
        <w:pStyle w:val="a3"/>
        <w:spacing w:before="0" w:beforeAutospacing="0" w:after="0" w:afterAutospacing="0"/>
        <w:ind w:firstLine="360"/>
        <w:divId w:val="1581065466"/>
        <w:rPr>
          <w:rFonts w:ascii="等线" w:eastAsia="等线" w:hAnsi="等线" w:hint="eastAsia"/>
          <w:sz w:val="21"/>
          <w:szCs w:val="21"/>
        </w:rPr>
      </w:pPr>
      <w:r>
        <w:rPr>
          <w:rFonts w:hint="eastAsia"/>
          <w:color w:val="000000"/>
          <w:sz w:val="18"/>
          <w:szCs w:val="18"/>
        </w:rPr>
        <w:lastRenderedPageBreak/>
        <w:t>4.公司于2026年4月正式注册成立杭州威达芯光电子有限公司（因公司战略调整于2026年8月17日注销），主要从事：一般项目：电子专用材料、电子元器件研发、制造；制冷空调设备制造；节能管理、信息技术咨询、科技中介服务；技术开发与成果推广；货物进出口、技术进出口。注册资本100万元，公司持股100%。</w:t>
      </w:r>
    </w:p>
    <w:p w14:paraId="4AB71A7A" w14:textId="77777777" w:rsidR="00000000" w:rsidRDefault="00000000">
      <w:pPr>
        <w:pStyle w:val="a3"/>
        <w:spacing w:before="0" w:beforeAutospacing="0" w:after="0" w:afterAutospacing="0"/>
        <w:ind w:firstLine="360"/>
        <w:divId w:val="1581065466"/>
        <w:rPr>
          <w:rFonts w:ascii="等线" w:eastAsia="等线" w:hAnsi="等线" w:hint="eastAsia"/>
          <w:sz w:val="21"/>
          <w:szCs w:val="21"/>
        </w:rPr>
      </w:pPr>
      <w:r>
        <w:rPr>
          <w:rFonts w:hint="eastAsia"/>
          <w:color w:val="000000"/>
          <w:sz w:val="18"/>
          <w:szCs w:val="18"/>
        </w:rPr>
        <w:t>（二）对外参投企业情况</w:t>
      </w:r>
    </w:p>
    <w:p w14:paraId="6D7F9CC6" w14:textId="77777777" w:rsidR="00A91C71" w:rsidRDefault="00000000">
      <w:pPr>
        <w:pStyle w:val="a3"/>
        <w:spacing w:before="0" w:beforeAutospacing="0" w:after="0" w:afterAutospacing="0"/>
        <w:ind w:firstLine="360"/>
        <w:divId w:val="1581065466"/>
        <w:rPr>
          <w:rFonts w:ascii="等线" w:eastAsia="等线" w:hAnsi="等线" w:hint="eastAsia"/>
          <w:sz w:val="21"/>
          <w:szCs w:val="21"/>
        </w:rPr>
      </w:pPr>
      <w:r>
        <w:rPr>
          <w:rFonts w:hint="eastAsia"/>
          <w:color w:val="000000"/>
          <w:sz w:val="18"/>
          <w:szCs w:val="18"/>
        </w:rPr>
        <w:t>1、公司积极监督江西赛酷新材料有限公司及其原股东履行回购义务。2023年，江西赛酷因净利润低于承诺触发了股权回购条款。截至2026年6月30日，公司累计收到江西赛酷实际控制人王迎春、刘娟娟支付的股权回购意向金1,295万元。目前，公司将继续保留按合同要求江西赛酷及相关方回购公司所持20.10%股权的权利。具体内容详见公司披露于《证券时报》《中国证券报》及巨潮资讯网</w:t>
      </w:r>
      <w:hyperlink r:id="rId6" w:history="1">
        <w:r>
          <w:rPr>
            <w:rStyle w:val="a4"/>
            <w:rFonts w:hint="eastAsia"/>
            <w:sz w:val="18"/>
            <w:szCs w:val="18"/>
          </w:rPr>
          <w:t>http://www.cninfo.com.cn</w:t>
        </w:r>
      </w:hyperlink>
      <w:r>
        <w:rPr>
          <w:rFonts w:hint="eastAsia"/>
          <w:color w:val="000000"/>
          <w:sz w:val="18"/>
          <w:szCs w:val="18"/>
        </w:rPr>
        <w:t>的相关公告。</w:t>
      </w:r>
    </w:p>
    <w:sectPr w:rsidR="00A91C71">
      <w:headerReference w:type="default" r:id="rId7"/>
      <w:footerReference w:type="default" r:id="rId8"/>
      <w:pgSz w:w="11905" w:h="16840"/>
      <w:pgMar w:top="1440" w:right="1134" w:bottom="1440" w:left="1134" w:header="850" w:footer="992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DA6CDF" w14:textId="77777777" w:rsidR="00A91C71" w:rsidRDefault="00A91C71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3AF869BA" w14:textId="77777777" w:rsidR="00A91C71" w:rsidRDefault="00A91C71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1149A" w14:textId="77777777" w:rsidR="00FB411C" w:rsidRDefault="00000000">
    <w:pPr>
      <w:pStyle w:val="fotter1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3D911" w14:textId="77777777" w:rsidR="00A91C71" w:rsidRDefault="00A91C71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2D9CD503" w14:textId="77777777" w:rsidR="00A91C71" w:rsidRDefault="00A91C71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FDC28" w14:textId="77777777" w:rsidR="00FB411C" w:rsidRDefault="00000000">
    <w:pPr>
      <w:pStyle w:val="Header1"/>
      <w:pBdr>
        <w:bottom w:val="single" w:sz="6" w:space="1" w:color="auto"/>
      </w:pBdr>
      <w:rPr>
        <w:rFonts w:hint="eastAsia"/>
      </w:rPr>
    </w:pPr>
    <w:r>
      <w:t>浙江威星智能仪表股份有限公司2026年半年度报告摘要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B411C"/>
    <w:rsid w:val="00382A40"/>
    <w:rsid w:val="00A91C71"/>
    <w:rsid w:val="00FA3B1D"/>
    <w:rsid w:val="00FB4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18871F"/>
  <w15:docId w15:val="{E57AD445-7DCC-45D1-9A06-56D7B73A0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156" w:after="156" w:line="240" w:lineRule="auto"/>
      <w:outlineLvl w:val="1"/>
    </w:pPr>
    <w:rPr>
      <w:sz w:val="21"/>
      <w:szCs w:val="21"/>
    </w:rPr>
  </w:style>
  <w:style w:type="paragraph" w:styleId="3">
    <w:name w:val="heading 3"/>
    <w:basedOn w:val="a"/>
    <w:next w:val="a"/>
    <w:uiPriority w:val="9"/>
    <w:unhideWhenUsed/>
    <w:qFormat/>
    <w:rsid w:val="00B74129"/>
    <w:pPr>
      <w:keepNext/>
      <w:keepLines/>
      <w:spacing w:before="300" w:after="300" w:line="241" w:lineRule="auto"/>
      <w:jc w:val="both"/>
      <w:outlineLvl w:val="2"/>
    </w:pPr>
    <w:rPr>
      <w:rFonts w:eastAsia="宋体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1">
    <w:name w:val="Header 1"/>
    <w:pPr>
      <w:jc w:val="right"/>
    </w:pPr>
    <w:rPr>
      <w:rFonts w:ascii="宋体" w:eastAsia="宋体"/>
      <w:sz w:val="18"/>
      <w:szCs w:val="18"/>
    </w:rPr>
  </w:style>
  <w:style w:type="paragraph" w:customStyle="1" w:styleId="headingh1">
    <w:name w:val="heading h1"/>
    <w:basedOn w:val="a"/>
    <w:next w:val="a"/>
    <w:uiPriority w:val="9"/>
    <w:qFormat/>
    <w:pPr>
      <w:keepNext/>
      <w:keepLines/>
      <w:spacing w:before="240" w:after="240" w:line="578" w:lineRule="auto"/>
      <w:outlineLvl w:val="0"/>
    </w:pPr>
    <w:rPr>
      <w:kern w:val="44"/>
      <w:sz w:val="44"/>
      <w:szCs w:val="44"/>
    </w:rPr>
  </w:style>
  <w:style w:type="paragraph" w:customStyle="1" w:styleId="fotter1">
    <w:name w:val="fotter 1"/>
    <w:pPr>
      <w:jc w:val="right"/>
    </w:pPr>
    <w:rPr>
      <w:rFonts w:ascii="宋体" w:eastAsia="宋体"/>
      <w:sz w:val="18"/>
      <w:szCs w:val="18"/>
    </w:rPr>
  </w:style>
  <w:style w:type="paragraph" w:styleId="TOC1">
    <w:name w:val="toc 1"/>
    <w:basedOn w:val="a"/>
    <w:next w:val="a"/>
    <w:autoRedefine/>
    <w:uiPriority w:val="39"/>
  </w:style>
  <w:style w:type="paragraph" w:styleId="TOC2">
    <w:name w:val="toc 2"/>
    <w:basedOn w:val="a"/>
    <w:next w:val="a"/>
    <w:autoRedefine/>
    <w:uiPriority w:val="39"/>
    <w:unhideWhenUsed/>
    <w:pPr>
      <w:ind w:leftChars="200" w:left="420"/>
    </w:pPr>
  </w:style>
  <w:style w:type="paragraph" w:styleId="a3">
    <w:name w:val="Normal (Web)"/>
    <w:basedOn w:val="a"/>
    <w:uiPriority w:val="99"/>
    <w:semiHidden/>
    <w:unhideWhenUsed/>
    <w:pPr>
      <w:widowControl/>
      <w:spacing w:before="100" w:beforeAutospacing="1" w:after="100" w:afterAutospacing="1" w:line="240" w:lineRule="auto"/>
    </w:pPr>
    <w:rPr>
      <w:rFonts w:ascii="宋体" w:eastAsia="宋体" w:hAnsi="宋体" w:cs="宋体"/>
      <w:kern w:val="0"/>
      <w:sz w:val="24"/>
      <w14:ligatures w14:val="none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382A4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382A40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82A40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382A4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106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ninfo.com.cn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445</Words>
  <Characters>2538</Characters>
  <Application>Microsoft Office Word</Application>
  <DocSecurity>0</DocSecurity>
  <Lines>21</Lines>
  <Paragraphs>5</Paragraphs>
  <ScaleCrop>false</ScaleCrop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chen xiao hui</cp:lastModifiedBy>
  <cp:revision>2</cp:revision>
  <dcterms:created xsi:type="dcterms:W3CDTF">2026-08-25T00:12:00Z</dcterms:created>
  <dcterms:modified xsi:type="dcterms:W3CDTF">2026-08-25T00:12:00Z</dcterms:modified>
</cp:coreProperties>
</file>