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1C4" w14:textId="77777777" w:rsidR="00E51AA6" w:rsidRDefault="00D53796">
      <w:pPr>
        <w:spacing w:line="360" w:lineRule="auto"/>
        <w:rPr>
          <w:rFonts w:ascii="宋体" w:eastAsia="宋体" w:hAnsi="宋体" w:hint="eastAsia"/>
          <w:sz w:val="24"/>
        </w:rPr>
      </w:pPr>
      <w:r>
        <w:rPr>
          <w:rFonts w:ascii="宋体" w:eastAsia="宋体" w:hAnsi="宋体"/>
          <w:sz w:val="24"/>
        </w:rPr>
        <w:t>证券代码：002849         证券简称</w:t>
      </w:r>
      <w:r>
        <w:rPr>
          <w:rFonts w:ascii="宋体" w:eastAsia="宋体" w:hAnsi="宋体" w:hint="eastAsia"/>
          <w:sz w:val="24"/>
        </w:rPr>
        <w:t xml:space="preserve">：威星智能 </w:t>
      </w:r>
      <w:r>
        <w:rPr>
          <w:rFonts w:ascii="宋体" w:eastAsia="宋体" w:hAnsi="宋体"/>
          <w:sz w:val="24"/>
        </w:rPr>
        <w:t xml:space="preserve">       </w:t>
      </w:r>
      <w:r>
        <w:rPr>
          <w:rFonts w:ascii="宋体" w:eastAsia="宋体" w:hAnsi="宋体" w:hint="eastAsia"/>
          <w:sz w:val="24"/>
        </w:rPr>
        <w:t>公告编号：</w:t>
      </w:r>
      <w:r>
        <w:rPr>
          <w:rFonts w:ascii="宋体" w:eastAsia="宋体" w:hAnsi="宋体"/>
          <w:sz w:val="24"/>
        </w:rPr>
        <w:t>2026-0</w:t>
      </w:r>
      <w:r>
        <w:rPr>
          <w:rFonts w:ascii="宋体" w:eastAsia="宋体" w:hAnsi="宋体" w:hint="eastAsia"/>
          <w:sz w:val="24"/>
        </w:rPr>
        <w:t>19</w:t>
      </w:r>
    </w:p>
    <w:p w14:paraId="5CAD1F2F" w14:textId="77777777" w:rsidR="00E51AA6" w:rsidRDefault="00E51AA6">
      <w:pPr>
        <w:jc w:val="center"/>
        <w:rPr>
          <w:rFonts w:ascii="宋体" w:eastAsia="宋体" w:hAnsi="宋体" w:hint="eastAsia"/>
          <w:b/>
          <w:sz w:val="28"/>
        </w:rPr>
      </w:pPr>
    </w:p>
    <w:p w14:paraId="789225E3" w14:textId="77777777" w:rsidR="00E51AA6" w:rsidRDefault="00D53796">
      <w:pPr>
        <w:jc w:val="center"/>
        <w:rPr>
          <w:rFonts w:ascii="宋体" w:eastAsia="宋体" w:hAnsi="宋体" w:hint="eastAsia"/>
          <w:b/>
          <w:sz w:val="28"/>
        </w:rPr>
      </w:pPr>
      <w:r>
        <w:rPr>
          <w:rFonts w:ascii="宋体" w:eastAsia="宋体" w:hAnsi="宋体"/>
          <w:b/>
          <w:sz w:val="28"/>
        </w:rPr>
        <w:t>浙江威星智能</w:t>
      </w:r>
      <w:r>
        <w:rPr>
          <w:rFonts w:ascii="宋体" w:eastAsia="宋体" w:hAnsi="宋体" w:hint="eastAsia"/>
          <w:b/>
          <w:sz w:val="28"/>
        </w:rPr>
        <w:t>仪表</w:t>
      </w:r>
      <w:r>
        <w:rPr>
          <w:rFonts w:ascii="宋体" w:eastAsia="宋体" w:hAnsi="宋体"/>
          <w:b/>
          <w:sz w:val="28"/>
        </w:rPr>
        <w:t>股份有限公司</w:t>
      </w:r>
    </w:p>
    <w:p w14:paraId="19C4712D" w14:textId="77777777" w:rsidR="00E51AA6" w:rsidRDefault="00D53796">
      <w:pPr>
        <w:jc w:val="center"/>
        <w:rPr>
          <w:rFonts w:ascii="宋体" w:eastAsia="宋体" w:hAnsi="宋体" w:hint="eastAsia"/>
          <w:b/>
          <w:sz w:val="28"/>
        </w:rPr>
      </w:pPr>
      <w:r>
        <w:rPr>
          <w:rFonts w:ascii="宋体" w:eastAsia="宋体" w:hAnsi="宋体"/>
          <w:b/>
          <w:sz w:val="28"/>
        </w:rPr>
        <w:t>关于续聘天健会计师事务所（特殊普通合伙）为公司2026年</w:t>
      </w:r>
      <w:r>
        <w:rPr>
          <w:rFonts w:ascii="宋体" w:eastAsia="宋体" w:hAnsi="宋体" w:hint="eastAsia"/>
          <w:b/>
          <w:sz w:val="28"/>
        </w:rPr>
        <w:t>度</w:t>
      </w:r>
      <w:r>
        <w:rPr>
          <w:rFonts w:ascii="宋体" w:eastAsia="宋体" w:hAnsi="宋体"/>
          <w:b/>
          <w:sz w:val="28"/>
        </w:rPr>
        <w:t>审计机构的公告</w:t>
      </w:r>
    </w:p>
    <w:p w14:paraId="20367AA1" w14:textId="77777777" w:rsidR="00E51AA6" w:rsidRDefault="00E51AA6" w:rsidP="00FD1A1E">
      <w:pPr>
        <w:jc w:val="center"/>
        <w:rPr>
          <w:rFonts w:ascii="宋体" w:eastAsia="宋体" w:hAnsi="宋体" w:hint="eastAsia"/>
          <w:b/>
          <w:sz w:val="28"/>
        </w:rPr>
      </w:pPr>
    </w:p>
    <w:p w14:paraId="650B3D91" w14:textId="77777777" w:rsidR="00E51AA6" w:rsidRDefault="00D53796">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Pr>
          <w:rFonts w:ascii="宋体" w:eastAsia="宋体" w:hAnsi="宋体" w:cs="宋体" w:hint="eastAsia"/>
          <w:b/>
          <w:kern w:val="0"/>
          <w:sz w:val="24"/>
        </w:rPr>
        <w:t>本公司及董事会全体成员</w:t>
      </w:r>
      <w:r>
        <w:rPr>
          <w:rFonts w:ascii="宋体" w:eastAsia="宋体" w:hAnsi="宋体" w:cs="宋体"/>
          <w:b/>
          <w:kern w:val="0"/>
          <w:sz w:val="24"/>
        </w:rPr>
        <w:t>保证信息披露的内容真实、准确、完整，没有虚假</w:t>
      </w:r>
      <w:r>
        <w:rPr>
          <w:rFonts w:ascii="宋体" w:eastAsia="宋体" w:hAnsi="宋体" w:cs="宋体"/>
          <w:b/>
          <w:kern w:val="0"/>
          <w:sz w:val="24"/>
          <w:szCs w:val="24"/>
        </w:rPr>
        <w:t>记载、误导性陈述或重大遗漏。</w:t>
      </w:r>
    </w:p>
    <w:p w14:paraId="7B45BDA9" w14:textId="77777777" w:rsidR="00E51AA6" w:rsidRDefault="00D53796" w:rsidP="00FD61E0">
      <w:pPr>
        <w:spacing w:line="360" w:lineRule="auto"/>
        <w:ind w:firstLineChars="200" w:firstLine="480"/>
        <w:rPr>
          <w:rFonts w:ascii="宋体" w:eastAsia="宋体" w:hAnsi="宋体" w:hint="eastAsia"/>
          <w:sz w:val="24"/>
        </w:rPr>
      </w:pPr>
      <w:r>
        <w:rPr>
          <w:rFonts w:ascii="宋体" w:eastAsia="宋体" w:hAnsi="宋体" w:hint="eastAsia"/>
          <w:sz w:val="24"/>
        </w:rPr>
        <w:t>浙江</w:t>
      </w:r>
      <w:r>
        <w:rPr>
          <w:rFonts w:ascii="宋体" w:eastAsia="宋体" w:hAnsi="宋体"/>
          <w:sz w:val="24"/>
        </w:rPr>
        <w:t>威星智能仪表股份有限公司</w:t>
      </w:r>
      <w:r>
        <w:rPr>
          <w:rFonts w:ascii="宋体" w:eastAsia="宋体" w:hAnsi="宋体" w:hint="eastAsia"/>
          <w:sz w:val="24"/>
        </w:rPr>
        <w:t>（以下简称“公司”或“威星智能”）于202</w:t>
      </w:r>
      <w:r>
        <w:rPr>
          <w:rFonts w:ascii="宋体" w:eastAsia="宋体" w:hAnsi="宋体"/>
          <w:sz w:val="24"/>
        </w:rPr>
        <w:t>6</w:t>
      </w:r>
      <w:r>
        <w:rPr>
          <w:rFonts w:ascii="宋体" w:eastAsia="宋体" w:hAnsi="宋体" w:hint="eastAsia"/>
          <w:sz w:val="24"/>
        </w:rPr>
        <w:t>年4月</w:t>
      </w:r>
      <w:r>
        <w:rPr>
          <w:rFonts w:ascii="宋体" w:eastAsia="宋体" w:hAnsi="宋体"/>
          <w:sz w:val="24"/>
        </w:rPr>
        <w:t>24</w:t>
      </w:r>
      <w:r>
        <w:rPr>
          <w:rFonts w:ascii="宋体" w:eastAsia="宋体" w:hAnsi="宋体" w:hint="eastAsia"/>
          <w:sz w:val="24"/>
        </w:rPr>
        <w:t>日召开第六届董事会第六次会议，审议通过了公司《关于续聘天健会计师事务所（特殊普通合伙）为公司202</w:t>
      </w:r>
      <w:r>
        <w:rPr>
          <w:rFonts w:ascii="宋体" w:eastAsia="宋体" w:hAnsi="宋体"/>
          <w:sz w:val="24"/>
        </w:rPr>
        <w:t>6</w:t>
      </w:r>
      <w:r>
        <w:rPr>
          <w:rFonts w:ascii="宋体" w:eastAsia="宋体" w:hAnsi="宋体" w:hint="eastAsia"/>
          <w:sz w:val="24"/>
        </w:rPr>
        <w:t>年度审计机构的议案》，决定续聘天健会计师事务所（特殊普通合伙）执行公司202</w:t>
      </w:r>
      <w:r>
        <w:rPr>
          <w:rFonts w:ascii="宋体" w:eastAsia="宋体" w:hAnsi="宋体"/>
          <w:sz w:val="24"/>
        </w:rPr>
        <w:t>6</w:t>
      </w:r>
      <w:r>
        <w:rPr>
          <w:rFonts w:ascii="宋体" w:eastAsia="宋体" w:hAnsi="宋体" w:hint="eastAsia"/>
          <w:sz w:val="24"/>
        </w:rPr>
        <w:t>年度审计工作，该议案尚需提交公司202</w:t>
      </w:r>
      <w:r>
        <w:rPr>
          <w:rFonts w:ascii="宋体" w:eastAsia="宋体" w:hAnsi="宋体"/>
          <w:sz w:val="24"/>
        </w:rPr>
        <w:t>5</w:t>
      </w:r>
      <w:r>
        <w:rPr>
          <w:rFonts w:ascii="宋体" w:eastAsia="宋体" w:hAnsi="宋体" w:hint="eastAsia"/>
          <w:sz w:val="24"/>
        </w:rPr>
        <w:t>年年度股东会审议。现将相关情况公告如下：</w:t>
      </w:r>
    </w:p>
    <w:p w14:paraId="3D8A025E" w14:textId="77777777" w:rsidR="00E51AA6" w:rsidRDefault="00D53796" w:rsidP="00FD61E0">
      <w:pPr>
        <w:spacing w:line="360" w:lineRule="auto"/>
        <w:ind w:firstLineChars="200" w:firstLine="482"/>
        <w:rPr>
          <w:rFonts w:ascii="宋体" w:eastAsia="宋体" w:hAnsi="宋体" w:hint="eastAsia"/>
          <w:b/>
          <w:sz w:val="24"/>
          <w:szCs w:val="24"/>
        </w:rPr>
      </w:pPr>
      <w:r>
        <w:rPr>
          <w:rFonts w:ascii="宋体" w:eastAsia="宋体" w:hAnsi="宋体"/>
          <w:b/>
          <w:sz w:val="24"/>
          <w:szCs w:val="24"/>
        </w:rPr>
        <w:t>一、</w:t>
      </w:r>
      <w:r>
        <w:rPr>
          <w:rFonts w:ascii="宋体" w:eastAsia="宋体" w:hAnsi="宋体" w:hint="eastAsia"/>
          <w:b/>
          <w:sz w:val="24"/>
          <w:szCs w:val="24"/>
        </w:rPr>
        <w:t>拟</w:t>
      </w:r>
      <w:r>
        <w:rPr>
          <w:rFonts w:ascii="宋体" w:eastAsia="宋体" w:hAnsi="宋体"/>
          <w:b/>
          <w:sz w:val="24"/>
          <w:szCs w:val="24"/>
        </w:rPr>
        <w:t>聘任会计师事务所事项的情况说明</w:t>
      </w:r>
    </w:p>
    <w:p w14:paraId="7289A14B" w14:textId="77777777"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鉴于天健会计师事务所（特殊普通合伙）在202</w:t>
      </w:r>
      <w:r>
        <w:rPr>
          <w:rFonts w:ascii="宋体" w:eastAsia="宋体" w:hAnsi="宋体"/>
          <w:sz w:val="24"/>
          <w:szCs w:val="24"/>
        </w:rPr>
        <w:t>5</w:t>
      </w:r>
      <w:r>
        <w:rPr>
          <w:rFonts w:ascii="宋体" w:eastAsia="宋体" w:hAnsi="宋体" w:hint="eastAsia"/>
          <w:sz w:val="24"/>
          <w:szCs w:val="24"/>
        </w:rPr>
        <w:t>年度的审计工作中勤勉尽责，遵循独立、客观、公正的执行准则，较好地完成了公司委托的审计工作，为公司提高经营管理水平做出了贡献。根据中国证监会和《公司章程》关于聘任会计师事务所的有关规定及公司董事会审计委员会续聘会计师事务所的提议，考虑业务合作的连续性、对公司的了解程度等因素，董事会同意续聘天健会计师事务所（特殊普通合伙）执行公司202</w:t>
      </w:r>
      <w:r>
        <w:rPr>
          <w:rFonts w:ascii="宋体" w:eastAsia="宋体" w:hAnsi="宋体"/>
          <w:sz w:val="24"/>
          <w:szCs w:val="24"/>
        </w:rPr>
        <w:t>6</w:t>
      </w:r>
      <w:r>
        <w:rPr>
          <w:rFonts w:ascii="宋体" w:eastAsia="宋体" w:hAnsi="宋体" w:hint="eastAsia"/>
          <w:sz w:val="24"/>
          <w:szCs w:val="24"/>
        </w:rPr>
        <w:t>年度审计工作，并将此提交公司202</w:t>
      </w:r>
      <w:r>
        <w:rPr>
          <w:rFonts w:ascii="宋体" w:eastAsia="宋体" w:hAnsi="宋体"/>
          <w:sz w:val="24"/>
          <w:szCs w:val="24"/>
        </w:rPr>
        <w:t>5</w:t>
      </w:r>
      <w:r>
        <w:rPr>
          <w:rFonts w:ascii="宋体" w:eastAsia="宋体" w:hAnsi="宋体" w:hint="eastAsia"/>
          <w:sz w:val="24"/>
          <w:szCs w:val="24"/>
        </w:rPr>
        <w:t>年年度股东会审议。</w:t>
      </w:r>
    </w:p>
    <w:p w14:paraId="24FDAF96" w14:textId="77777777" w:rsidR="00E51AA6" w:rsidRDefault="00D53796" w:rsidP="00FD61E0">
      <w:pPr>
        <w:spacing w:line="360" w:lineRule="auto"/>
        <w:ind w:firstLineChars="200" w:firstLine="482"/>
        <w:rPr>
          <w:rFonts w:ascii="宋体" w:eastAsia="宋体" w:hAnsi="宋体" w:hint="eastAsia"/>
          <w:b/>
          <w:color w:val="000000" w:themeColor="text1"/>
          <w:sz w:val="24"/>
          <w:szCs w:val="24"/>
        </w:rPr>
      </w:pPr>
      <w:r>
        <w:rPr>
          <w:rFonts w:ascii="宋体" w:eastAsia="宋体" w:hAnsi="宋体"/>
          <w:b/>
          <w:color w:val="000000" w:themeColor="text1"/>
          <w:sz w:val="24"/>
          <w:szCs w:val="24"/>
        </w:rPr>
        <w:t>二</w:t>
      </w:r>
      <w:r>
        <w:rPr>
          <w:rFonts w:ascii="宋体" w:eastAsia="宋体" w:hAnsi="宋体" w:hint="eastAsia"/>
          <w:b/>
          <w:color w:val="000000" w:themeColor="text1"/>
          <w:sz w:val="24"/>
          <w:szCs w:val="24"/>
        </w:rPr>
        <w:t>、</w:t>
      </w:r>
      <w:r>
        <w:rPr>
          <w:rFonts w:ascii="宋体" w:eastAsia="宋体" w:hAnsi="宋体"/>
          <w:b/>
          <w:color w:val="000000" w:themeColor="text1"/>
          <w:sz w:val="24"/>
          <w:szCs w:val="24"/>
        </w:rPr>
        <w:t>拟聘任会计师事务所的基本信息</w:t>
      </w:r>
    </w:p>
    <w:p w14:paraId="3134290E" w14:textId="77777777"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（一</w:t>
      </w:r>
      <w:r>
        <w:rPr>
          <w:rFonts w:ascii="宋体" w:eastAsia="宋体" w:hAnsi="宋体"/>
          <w:color w:val="000000" w:themeColor="text1"/>
          <w:sz w:val="24"/>
          <w:szCs w:val="24"/>
        </w:rPr>
        <w:t>）</w:t>
      </w:r>
      <w:r>
        <w:rPr>
          <w:rFonts w:ascii="宋体" w:eastAsia="宋体" w:hAnsi="宋体" w:hint="eastAsia"/>
          <w:color w:val="000000" w:themeColor="text1"/>
          <w:sz w:val="24"/>
          <w:szCs w:val="24"/>
        </w:rPr>
        <w:t>机构信息</w:t>
      </w:r>
    </w:p>
    <w:p w14:paraId="3917D2D5" w14:textId="77777777"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1. 基本信息</w:t>
      </w:r>
    </w:p>
    <w:tbl>
      <w:tblPr>
        <w:tblStyle w:val="2"/>
        <w:tblW w:w="8505" w:type="dxa"/>
        <w:tblInd w:w="108" w:type="dxa"/>
        <w:tblLayout w:type="fixed"/>
        <w:tblLook w:val="04A0" w:firstRow="1" w:lastRow="0" w:firstColumn="1" w:lastColumn="0" w:noHBand="0" w:noVBand="1"/>
      </w:tblPr>
      <w:tblGrid>
        <w:gridCol w:w="1834"/>
        <w:gridCol w:w="2198"/>
        <w:gridCol w:w="28"/>
        <w:gridCol w:w="618"/>
        <w:gridCol w:w="1761"/>
        <w:gridCol w:w="224"/>
        <w:gridCol w:w="14"/>
        <w:gridCol w:w="1828"/>
      </w:tblGrid>
      <w:tr w:rsidR="00E51AA6" w14:paraId="39BA90D5" w14:textId="77777777">
        <w:trPr>
          <w:trHeight w:val="397"/>
        </w:trPr>
        <w:tc>
          <w:tcPr>
            <w:tcW w:w="1834" w:type="dxa"/>
          </w:tcPr>
          <w:p w14:paraId="025D1CDB"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hint="eastAsia"/>
                <w:kern w:val="0"/>
                <w:sz w:val="24"/>
                <w:szCs w:val="24"/>
              </w:rPr>
              <w:t>事务所名称</w:t>
            </w:r>
          </w:p>
        </w:tc>
        <w:tc>
          <w:tcPr>
            <w:tcW w:w="6671" w:type="dxa"/>
            <w:gridSpan w:val="7"/>
          </w:tcPr>
          <w:p w14:paraId="4928B528"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kern w:val="0"/>
                <w:sz w:val="24"/>
                <w:szCs w:val="24"/>
              </w:rPr>
              <w:t>天健会计师事务所（特殊普通合伙）</w:t>
            </w:r>
          </w:p>
        </w:tc>
      </w:tr>
      <w:tr w:rsidR="00E51AA6" w14:paraId="6AA830E6" w14:textId="77777777">
        <w:trPr>
          <w:trHeight w:val="397"/>
        </w:trPr>
        <w:tc>
          <w:tcPr>
            <w:tcW w:w="1834" w:type="dxa"/>
          </w:tcPr>
          <w:p w14:paraId="455308EE"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kern w:val="0"/>
                <w:sz w:val="24"/>
                <w:szCs w:val="24"/>
              </w:rPr>
              <w:t>成立日期</w:t>
            </w:r>
          </w:p>
        </w:tc>
        <w:tc>
          <w:tcPr>
            <w:tcW w:w="2844" w:type="dxa"/>
            <w:gridSpan w:val="3"/>
          </w:tcPr>
          <w:p w14:paraId="1D8A6C3A"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hint="eastAsia"/>
                <w:kern w:val="0"/>
                <w:sz w:val="24"/>
                <w:szCs w:val="24"/>
              </w:rPr>
              <w:t>2011年7月18日</w:t>
            </w:r>
          </w:p>
        </w:tc>
        <w:tc>
          <w:tcPr>
            <w:tcW w:w="1761" w:type="dxa"/>
          </w:tcPr>
          <w:p w14:paraId="6266B7C6" w14:textId="77777777" w:rsidR="00E51AA6" w:rsidRDefault="00D53796" w:rsidP="00FD61E0">
            <w:pPr>
              <w:spacing w:line="360" w:lineRule="auto"/>
              <w:ind w:leftChars="50" w:left="465" w:hangingChars="150" w:hanging="360"/>
              <w:rPr>
                <w:rFonts w:ascii="宋体" w:hAnsi="宋体" w:hint="eastAsia"/>
                <w:color w:val="000000"/>
                <w:kern w:val="0"/>
                <w:sz w:val="24"/>
                <w:szCs w:val="24"/>
              </w:rPr>
            </w:pPr>
            <w:r>
              <w:rPr>
                <w:rFonts w:ascii="宋体" w:hAnsi="宋体" w:hint="eastAsia"/>
                <w:color w:val="000000"/>
                <w:kern w:val="0"/>
                <w:sz w:val="24"/>
                <w:szCs w:val="24"/>
              </w:rPr>
              <w:t>组织形式</w:t>
            </w:r>
          </w:p>
        </w:tc>
        <w:tc>
          <w:tcPr>
            <w:tcW w:w="2066" w:type="dxa"/>
            <w:gridSpan w:val="3"/>
          </w:tcPr>
          <w:p w14:paraId="19A50471" w14:textId="77777777" w:rsidR="00E51AA6" w:rsidRDefault="00D53796" w:rsidP="00FD61E0">
            <w:pPr>
              <w:spacing w:line="360" w:lineRule="auto"/>
              <w:ind w:leftChars="50" w:left="465" w:hangingChars="150" w:hanging="360"/>
              <w:rPr>
                <w:rFonts w:ascii="宋体" w:hAnsi="宋体" w:hint="eastAsia"/>
                <w:color w:val="000000"/>
                <w:kern w:val="0"/>
                <w:sz w:val="24"/>
                <w:szCs w:val="24"/>
              </w:rPr>
            </w:pPr>
            <w:r>
              <w:rPr>
                <w:rFonts w:ascii="宋体" w:hAnsi="宋体" w:hint="eastAsia"/>
                <w:color w:val="000000"/>
                <w:kern w:val="0"/>
                <w:sz w:val="24"/>
                <w:szCs w:val="24"/>
              </w:rPr>
              <w:t>特殊普通合伙</w:t>
            </w:r>
          </w:p>
        </w:tc>
      </w:tr>
      <w:tr w:rsidR="00E51AA6" w14:paraId="2B426B9D" w14:textId="77777777">
        <w:trPr>
          <w:trHeight w:val="397"/>
        </w:trPr>
        <w:tc>
          <w:tcPr>
            <w:tcW w:w="1834" w:type="dxa"/>
          </w:tcPr>
          <w:p w14:paraId="5168DD31"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hint="eastAsia"/>
                <w:kern w:val="0"/>
                <w:sz w:val="24"/>
                <w:szCs w:val="24"/>
              </w:rPr>
              <w:t>注册地址</w:t>
            </w:r>
          </w:p>
        </w:tc>
        <w:tc>
          <w:tcPr>
            <w:tcW w:w="6671" w:type="dxa"/>
            <w:gridSpan w:val="7"/>
          </w:tcPr>
          <w:p w14:paraId="3EFA8162"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hint="eastAsia"/>
                <w:kern w:val="0"/>
                <w:sz w:val="24"/>
                <w:szCs w:val="24"/>
              </w:rPr>
              <w:t>浙江省杭州市西湖区灵隐街道西溪路128号</w:t>
            </w:r>
          </w:p>
        </w:tc>
      </w:tr>
      <w:tr w:rsidR="00E51AA6" w14:paraId="026DD02B" w14:textId="77777777">
        <w:trPr>
          <w:trHeight w:val="397"/>
        </w:trPr>
        <w:tc>
          <w:tcPr>
            <w:tcW w:w="1834" w:type="dxa"/>
          </w:tcPr>
          <w:p w14:paraId="2E2725CD"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宋体" w:hAnsi="宋体" w:hint="eastAsia"/>
                <w:kern w:val="0"/>
                <w:sz w:val="24"/>
                <w:szCs w:val="24"/>
              </w:rPr>
              <w:lastRenderedPageBreak/>
              <w:t>首席</w:t>
            </w:r>
            <w:r>
              <w:rPr>
                <w:rFonts w:ascii="宋体" w:hAnsi="宋体"/>
                <w:kern w:val="0"/>
                <w:sz w:val="24"/>
                <w:szCs w:val="24"/>
              </w:rPr>
              <w:t>合伙人</w:t>
            </w:r>
          </w:p>
        </w:tc>
        <w:tc>
          <w:tcPr>
            <w:tcW w:w="2226" w:type="dxa"/>
            <w:gridSpan w:val="2"/>
          </w:tcPr>
          <w:p w14:paraId="2EE1F30E"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宋体" w:hAnsi="宋体" w:hint="eastAsia"/>
                <w:sz w:val="24"/>
                <w:szCs w:val="24"/>
              </w:rPr>
              <w:t>钟建国</w:t>
            </w:r>
          </w:p>
        </w:tc>
        <w:tc>
          <w:tcPr>
            <w:tcW w:w="2617" w:type="dxa"/>
            <w:gridSpan w:val="4"/>
          </w:tcPr>
          <w:p w14:paraId="2D3621CD" w14:textId="77777777" w:rsidR="00E51AA6" w:rsidRDefault="00D53796" w:rsidP="00FD61E0">
            <w:pPr>
              <w:spacing w:line="360" w:lineRule="auto"/>
              <w:ind w:firstLine="200"/>
              <w:rPr>
                <w:rFonts w:ascii="宋体" w:hAnsi="宋体" w:hint="eastAsia"/>
                <w:kern w:val="0"/>
                <w:sz w:val="24"/>
                <w:szCs w:val="24"/>
                <w:highlight w:val="yellow"/>
              </w:rPr>
            </w:pPr>
            <w:r>
              <w:rPr>
                <w:rFonts w:asciiTheme="minorEastAsia" w:hAnsiTheme="minorEastAsia" w:hint="eastAsia"/>
                <w:sz w:val="24"/>
                <w:szCs w:val="24"/>
              </w:rPr>
              <w:t>2025年末合伙人数量</w:t>
            </w:r>
          </w:p>
        </w:tc>
        <w:tc>
          <w:tcPr>
            <w:tcW w:w="1828" w:type="dxa"/>
          </w:tcPr>
          <w:p w14:paraId="10BB746A" w14:textId="77777777" w:rsidR="00E51AA6" w:rsidRDefault="00D53796" w:rsidP="00FD61E0">
            <w:pPr>
              <w:spacing w:line="360" w:lineRule="auto"/>
              <w:ind w:firstLine="200"/>
              <w:jc w:val="center"/>
              <w:rPr>
                <w:rFonts w:ascii="宋体" w:hAnsi="宋体" w:hint="eastAsia"/>
                <w:kern w:val="0"/>
                <w:sz w:val="24"/>
                <w:szCs w:val="24"/>
                <w:highlight w:val="yellow"/>
              </w:rPr>
            </w:pPr>
            <w:r>
              <w:rPr>
                <w:rFonts w:ascii="宋体" w:hAnsi="宋体" w:hint="eastAsia"/>
                <w:sz w:val="24"/>
                <w:szCs w:val="24"/>
              </w:rPr>
              <w:t>250人</w:t>
            </w:r>
          </w:p>
        </w:tc>
      </w:tr>
      <w:tr w:rsidR="00E51AA6" w14:paraId="4CA90707" w14:textId="77777777">
        <w:trPr>
          <w:trHeight w:val="397"/>
        </w:trPr>
        <w:tc>
          <w:tcPr>
            <w:tcW w:w="1834" w:type="dxa"/>
            <w:vMerge w:val="restart"/>
            <w:vAlign w:val="center"/>
          </w:tcPr>
          <w:p w14:paraId="49D7A3F0" w14:textId="77777777" w:rsidR="00E51AA6" w:rsidRDefault="00D53796" w:rsidP="00FD61E0">
            <w:pPr>
              <w:spacing w:line="360" w:lineRule="auto"/>
              <w:ind w:leftChars="25" w:left="53" w:firstLineChars="5" w:firstLine="12"/>
              <w:rPr>
                <w:rFonts w:ascii="宋体" w:hAnsi="宋体" w:hint="eastAsia"/>
                <w:color w:val="000000"/>
                <w:kern w:val="0"/>
                <w:sz w:val="24"/>
                <w:szCs w:val="24"/>
              </w:rPr>
            </w:pPr>
            <w:r>
              <w:rPr>
                <w:rFonts w:ascii="宋体" w:hAnsi="宋体" w:hint="eastAsia"/>
                <w:color w:val="000000"/>
                <w:kern w:val="0"/>
                <w:sz w:val="24"/>
                <w:szCs w:val="24"/>
              </w:rPr>
              <w:t>上年末执业人员数量</w:t>
            </w:r>
          </w:p>
        </w:tc>
        <w:tc>
          <w:tcPr>
            <w:tcW w:w="4843" w:type="dxa"/>
            <w:gridSpan w:val="6"/>
            <w:vAlign w:val="center"/>
          </w:tcPr>
          <w:p w14:paraId="70B90F5F" w14:textId="77777777" w:rsidR="00E51AA6" w:rsidRDefault="00D53796" w:rsidP="00FD61E0">
            <w:pPr>
              <w:spacing w:line="360" w:lineRule="auto"/>
              <w:ind w:leftChars="25" w:left="53" w:firstLineChars="5" w:firstLine="12"/>
              <w:rPr>
                <w:rFonts w:ascii="宋体" w:hAnsi="宋体" w:hint="eastAsia"/>
                <w:color w:val="000000"/>
                <w:kern w:val="0"/>
                <w:sz w:val="24"/>
                <w:szCs w:val="24"/>
                <w:highlight w:val="yellow"/>
              </w:rPr>
            </w:pPr>
            <w:r>
              <w:rPr>
                <w:rFonts w:asciiTheme="minorEastAsia" w:hAnsiTheme="minorEastAsia" w:hint="eastAsia"/>
                <w:sz w:val="24"/>
                <w:szCs w:val="24"/>
              </w:rPr>
              <w:t>注册会计师</w:t>
            </w:r>
          </w:p>
        </w:tc>
        <w:tc>
          <w:tcPr>
            <w:tcW w:w="1828" w:type="dxa"/>
          </w:tcPr>
          <w:p w14:paraId="068F908C" w14:textId="77777777" w:rsidR="00E51AA6" w:rsidRDefault="00D53796" w:rsidP="00FD61E0">
            <w:pPr>
              <w:spacing w:line="360" w:lineRule="auto"/>
              <w:ind w:firstLine="200"/>
              <w:jc w:val="center"/>
              <w:rPr>
                <w:rFonts w:ascii="宋体" w:hAnsi="宋体" w:hint="eastAsia"/>
                <w:kern w:val="0"/>
                <w:sz w:val="24"/>
                <w:szCs w:val="24"/>
                <w:highlight w:val="yellow"/>
              </w:rPr>
            </w:pPr>
            <w:r>
              <w:rPr>
                <w:rFonts w:ascii="宋体" w:hAnsi="宋体" w:hint="eastAsia"/>
                <w:sz w:val="24"/>
                <w:szCs w:val="24"/>
              </w:rPr>
              <w:t>2363人</w:t>
            </w:r>
          </w:p>
        </w:tc>
      </w:tr>
      <w:tr w:rsidR="00E51AA6" w14:paraId="3B4223B6" w14:textId="77777777">
        <w:trPr>
          <w:trHeight w:val="397"/>
        </w:trPr>
        <w:tc>
          <w:tcPr>
            <w:tcW w:w="1834" w:type="dxa"/>
            <w:vMerge/>
          </w:tcPr>
          <w:p w14:paraId="0B7F6BEA" w14:textId="77777777" w:rsidR="00E51AA6" w:rsidRDefault="00E51AA6" w:rsidP="00FD61E0">
            <w:pPr>
              <w:spacing w:line="360" w:lineRule="auto"/>
              <w:ind w:leftChars="25" w:left="53" w:firstLineChars="5" w:firstLine="12"/>
              <w:rPr>
                <w:rFonts w:ascii="宋体" w:hAnsi="宋体" w:hint="eastAsia"/>
                <w:color w:val="000000"/>
                <w:kern w:val="0"/>
                <w:sz w:val="24"/>
                <w:szCs w:val="24"/>
              </w:rPr>
            </w:pPr>
          </w:p>
        </w:tc>
        <w:tc>
          <w:tcPr>
            <w:tcW w:w="4843" w:type="dxa"/>
            <w:gridSpan w:val="6"/>
            <w:vAlign w:val="center"/>
          </w:tcPr>
          <w:p w14:paraId="325BB7B7" w14:textId="77777777" w:rsidR="00E51AA6" w:rsidRDefault="00D53796" w:rsidP="00FD61E0">
            <w:pPr>
              <w:spacing w:line="360" w:lineRule="auto"/>
              <w:ind w:leftChars="25" w:left="53" w:firstLineChars="5" w:firstLine="12"/>
              <w:rPr>
                <w:rFonts w:ascii="宋体" w:hAnsi="宋体" w:hint="eastAsia"/>
                <w:color w:val="000000"/>
                <w:kern w:val="0"/>
                <w:sz w:val="24"/>
                <w:szCs w:val="24"/>
                <w:highlight w:val="yellow"/>
              </w:rPr>
            </w:pPr>
            <w:r>
              <w:rPr>
                <w:rFonts w:asciiTheme="minorEastAsia" w:hAnsiTheme="minorEastAsia" w:hint="eastAsia"/>
                <w:sz w:val="24"/>
                <w:szCs w:val="24"/>
              </w:rPr>
              <w:t>签署过证券服务业务审计报告的注册会计师</w:t>
            </w:r>
          </w:p>
        </w:tc>
        <w:tc>
          <w:tcPr>
            <w:tcW w:w="1828" w:type="dxa"/>
            <w:vAlign w:val="center"/>
          </w:tcPr>
          <w:p w14:paraId="03A3BACE" w14:textId="77777777" w:rsidR="00E51AA6" w:rsidRDefault="00D53796" w:rsidP="00FD61E0">
            <w:pPr>
              <w:spacing w:line="360" w:lineRule="auto"/>
              <w:ind w:firstLine="200"/>
              <w:jc w:val="center"/>
              <w:rPr>
                <w:rFonts w:ascii="宋体" w:hAnsi="宋体" w:hint="eastAsia"/>
                <w:kern w:val="0"/>
                <w:sz w:val="24"/>
                <w:szCs w:val="24"/>
                <w:highlight w:val="yellow"/>
              </w:rPr>
            </w:pPr>
            <w:r>
              <w:rPr>
                <w:rFonts w:asciiTheme="minorEastAsia" w:hAnsiTheme="minorEastAsia" w:hint="eastAsia"/>
                <w:sz w:val="24"/>
                <w:szCs w:val="24"/>
              </w:rPr>
              <w:t>954人</w:t>
            </w:r>
          </w:p>
        </w:tc>
      </w:tr>
      <w:tr w:rsidR="00E51AA6" w14:paraId="1AEC48EE" w14:textId="77777777">
        <w:trPr>
          <w:trHeight w:val="397"/>
        </w:trPr>
        <w:tc>
          <w:tcPr>
            <w:tcW w:w="1834" w:type="dxa"/>
            <w:vMerge w:val="restart"/>
            <w:vAlign w:val="center"/>
          </w:tcPr>
          <w:p w14:paraId="7360E3C4"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宋体" w:hAnsi="宋体" w:hint="eastAsia"/>
                <w:kern w:val="0"/>
                <w:sz w:val="24"/>
                <w:szCs w:val="24"/>
              </w:rPr>
              <w:t>2024年（经审计）业务收入</w:t>
            </w:r>
          </w:p>
        </w:tc>
        <w:tc>
          <w:tcPr>
            <w:tcW w:w="2198" w:type="dxa"/>
          </w:tcPr>
          <w:p w14:paraId="670ED08F" w14:textId="77777777" w:rsidR="00E51AA6" w:rsidRDefault="00D53796" w:rsidP="00FD61E0">
            <w:pPr>
              <w:spacing w:line="360" w:lineRule="auto"/>
              <w:ind w:leftChars="25" w:left="53" w:firstLineChars="5" w:firstLine="12"/>
              <w:rPr>
                <w:rFonts w:ascii="宋体" w:hAnsi="宋体" w:hint="eastAsia"/>
                <w:kern w:val="0"/>
                <w:sz w:val="24"/>
                <w:szCs w:val="24"/>
                <w:highlight w:val="yellow"/>
              </w:rPr>
            </w:pPr>
            <w:r>
              <w:rPr>
                <w:rFonts w:asciiTheme="minorEastAsia" w:hAnsiTheme="minorEastAsia" w:hint="eastAsia"/>
                <w:sz w:val="24"/>
                <w:szCs w:val="24"/>
              </w:rPr>
              <w:t>业务收入总额</w:t>
            </w:r>
          </w:p>
        </w:tc>
        <w:tc>
          <w:tcPr>
            <w:tcW w:w="4473" w:type="dxa"/>
            <w:gridSpan w:val="6"/>
            <w:vAlign w:val="center"/>
          </w:tcPr>
          <w:p w14:paraId="3E63EF9E" w14:textId="77777777" w:rsidR="00E51AA6" w:rsidRDefault="00D53796" w:rsidP="00FD61E0">
            <w:pPr>
              <w:spacing w:line="360" w:lineRule="auto"/>
              <w:ind w:leftChars="50" w:left="465" w:hangingChars="150" w:hanging="360"/>
              <w:jc w:val="center"/>
              <w:rPr>
                <w:rFonts w:ascii="宋体" w:hAnsi="宋体" w:hint="eastAsia"/>
                <w:kern w:val="0"/>
                <w:sz w:val="24"/>
                <w:szCs w:val="24"/>
                <w:highlight w:val="yellow"/>
              </w:rPr>
            </w:pPr>
            <w:r>
              <w:rPr>
                <w:rFonts w:asciiTheme="minorEastAsia" w:hAnsiTheme="minorEastAsia" w:hint="eastAsia"/>
                <w:sz w:val="24"/>
                <w:szCs w:val="24"/>
              </w:rPr>
              <w:t>29.88亿元</w:t>
            </w:r>
          </w:p>
        </w:tc>
      </w:tr>
      <w:tr w:rsidR="00E51AA6" w14:paraId="569BEF13" w14:textId="77777777">
        <w:trPr>
          <w:trHeight w:val="397"/>
        </w:trPr>
        <w:tc>
          <w:tcPr>
            <w:tcW w:w="1834" w:type="dxa"/>
            <w:vMerge/>
          </w:tcPr>
          <w:p w14:paraId="75B6A5B4" w14:textId="77777777" w:rsidR="00E51AA6" w:rsidRDefault="00E51AA6" w:rsidP="00FD61E0">
            <w:pPr>
              <w:spacing w:line="360" w:lineRule="auto"/>
              <w:ind w:leftChars="25" w:left="53" w:firstLineChars="5" w:firstLine="12"/>
              <w:rPr>
                <w:rFonts w:ascii="宋体" w:hAnsi="宋体" w:hint="eastAsia"/>
                <w:kern w:val="0"/>
                <w:sz w:val="24"/>
                <w:szCs w:val="24"/>
              </w:rPr>
            </w:pPr>
          </w:p>
        </w:tc>
        <w:tc>
          <w:tcPr>
            <w:tcW w:w="2198" w:type="dxa"/>
          </w:tcPr>
          <w:p w14:paraId="7AFFE306" w14:textId="77777777" w:rsidR="00E51AA6" w:rsidRDefault="00D53796" w:rsidP="00FD61E0">
            <w:pPr>
              <w:spacing w:line="360" w:lineRule="auto"/>
              <w:ind w:leftChars="25" w:left="53" w:firstLineChars="5" w:firstLine="12"/>
              <w:rPr>
                <w:rFonts w:ascii="宋体" w:hAnsi="宋体" w:hint="eastAsia"/>
                <w:kern w:val="0"/>
                <w:sz w:val="24"/>
                <w:szCs w:val="24"/>
                <w:highlight w:val="yellow"/>
              </w:rPr>
            </w:pPr>
            <w:r>
              <w:rPr>
                <w:rFonts w:asciiTheme="minorEastAsia" w:hAnsiTheme="minorEastAsia" w:hint="eastAsia"/>
                <w:sz w:val="24"/>
                <w:szCs w:val="24"/>
              </w:rPr>
              <w:t>审计业务收入</w:t>
            </w:r>
          </w:p>
        </w:tc>
        <w:tc>
          <w:tcPr>
            <w:tcW w:w="4473" w:type="dxa"/>
            <w:gridSpan w:val="6"/>
          </w:tcPr>
          <w:p w14:paraId="45B5481A" w14:textId="77777777" w:rsidR="00E51AA6" w:rsidRDefault="00D53796" w:rsidP="00FD61E0">
            <w:pPr>
              <w:spacing w:line="360" w:lineRule="auto"/>
              <w:ind w:leftChars="50" w:left="465" w:hangingChars="150" w:hanging="360"/>
              <w:jc w:val="center"/>
              <w:rPr>
                <w:rFonts w:ascii="宋体" w:hAnsi="宋体" w:hint="eastAsia"/>
                <w:kern w:val="0"/>
                <w:sz w:val="24"/>
                <w:szCs w:val="24"/>
                <w:highlight w:val="yellow"/>
              </w:rPr>
            </w:pPr>
            <w:r>
              <w:rPr>
                <w:rFonts w:asciiTheme="minorEastAsia" w:hAnsiTheme="minorEastAsia" w:hint="eastAsia"/>
                <w:sz w:val="24"/>
                <w:szCs w:val="24"/>
              </w:rPr>
              <w:t>26.01亿元</w:t>
            </w:r>
          </w:p>
        </w:tc>
      </w:tr>
      <w:tr w:rsidR="00E51AA6" w14:paraId="26A1FEAC" w14:textId="77777777">
        <w:trPr>
          <w:trHeight w:val="397"/>
        </w:trPr>
        <w:tc>
          <w:tcPr>
            <w:tcW w:w="1834" w:type="dxa"/>
            <w:vMerge/>
          </w:tcPr>
          <w:p w14:paraId="372F9FBE" w14:textId="77777777" w:rsidR="00E51AA6" w:rsidRDefault="00E51AA6" w:rsidP="00FD61E0">
            <w:pPr>
              <w:spacing w:line="360" w:lineRule="auto"/>
              <w:ind w:leftChars="25" w:left="53" w:firstLineChars="5" w:firstLine="12"/>
              <w:rPr>
                <w:rFonts w:ascii="宋体" w:hAnsi="宋体" w:hint="eastAsia"/>
                <w:kern w:val="0"/>
                <w:sz w:val="24"/>
                <w:szCs w:val="24"/>
              </w:rPr>
            </w:pPr>
          </w:p>
        </w:tc>
        <w:tc>
          <w:tcPr>
            <w:tcW w:w="2198" w:type="dxa"/>
          </w:tcPr>
          <w:p w14:paraId="39100ED2"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Theme="minorEastAsia" w:hAnsiTheme="minorEastAsia" w:hint="eastAsia"/>
                <w:sz w:val="24"/>
                <w:szCs w:val="24"/>
              </w:rPr>
              <w:t>证券业务收入</w:t>
            </w:r>
          </w:p>
        </w:tc>
        <w:tc>
          <w:tcPr>
            <w:tcW w:w="4473" w:type="dxa"/>
            <w:gridSpan w:val="6"/>
          </w:tcPr>
          <w:p w14:paraId="38155D1D" w14:textId="77777777" w:rsidR="00E51AA6" w:rsidRDefault="00D53796" w:rsidP="00FD61E0">
            <w:pPr>
              <w:spacing w:line="360" w:lineRule="auto"/>
              <w:ind w:leftChars="50" w:left="465" w:hangingChars="150" w:hanging="360"/>
              <w:jc w:val="center"/>
              <w:rPr>
                <w:rFonts w:ascii="宋体" w:hAnsi="宋体" w:hint="eastAsia"/>
                <w:kern w:val="0"/>
                <w:sz w:val="24"/>
                <w:szCs w:val="24"/>
                <w:highlight w:val="yellow"/>
              </w:rPr>
            </w:pPr>
            <w:r>
              <w:rPr>
                <w:rFonts w:asciiTheme="minorEastAsia" w:hAnsiTheme="minorEastAsia" w:hint="eastAsia"/>
                <w:sz w:val="24"/>
                <w:szCs w:val="24"/>
              </w:rPr>
              <w:t>15.47亿元</w:t>
            </w:r>
          </w:p>
        </w:tc>
      </w:tr>
      <w:tr w:rsidR="00E51AA6" w14:paraId="165B2C50" w14:textId="77777777">
        <w:trPr>
          <w:trHeight w:val="397"/>
        </w:trPr>
        <w:tc>
          <w:tcPr>
            <w:tcW w:w="1834" w:type="dxa"/>
            <w:vMerge w:val="restart"/>
            <w:vAlign w:val="center"/>
          </w:tcPr>
          <w:p w14:paraId="2FB3DDDC"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宋体" w:hAnsi="宋体" w:hint="eastAsia"/>
                <w:kern w:val="0"/>
                <w:sz w:val="24"/>
                <w:szCs w:val="24"/>
              </w:rPr>
              <w:t>2025年上市公司（含A、B股）审计情况</w:t>
            </w:r>
          </w:p>
        </w:tc>
        <w:tc>
          <w:tcPr>
            <w:tcW w:w="2198" w:type="dxa"/>
          </w:tcPr>
          <w:p w14:paraId="2252FE71"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Theme="minorEastAsia" w:hAnsiTheme="minorEastAsia" w:hint="eastAsia"/>
                <w:sz w:val="24"/>
                <w:szCs w:val="24"/>
              </w:rPr>
              <w:t>客户家数</w:t>
            </w:r>
          </w:p>
        </w:tc>
        <w:tc>
          <w:tcPr>
            <w:tcW w:w="4473" w:type="dxa"/>
            <w:gridSpan w:val="6"/>
            <w:vAlign w:val="center"/>
          </w:tcPr>
          <w:p w14:paraId="64F7ED65" w14:textId="77777777" w:rsidR="00E51AA6" w:rsidRDefault="00D53796" w:rsidP="00FD61E0">
            <w:pPr>
              <w:spacing w:line="360" w:lineRule="auto"/>
              <w:ind w:firstLine="200"/>
              <w:jc w:val="center"/>
              <w:rPr>
                <w:rFonts w:ascii="宋体" w:hAnsi="宋体" w:hint="eastAsia"/>
                <w:kern w:val="0"/>
                <w:sz w:val="24"/>
                <w:szCs w:val="24"/>
                <w:highlight w:val="yellow"/>
              </w:rPr>
            </w:pPr>
            <w:r>
              <w:rPr>
                <w:rFonts w:asciiTheme="minorEastAsia" w:hAnsiTheme="minorEastAsia" w:hint="eastAsia"/>
                <w:sz w:val="24"/>
                <w:szCs w:val="24"/>
              </w:rPr>
              <w:t>756家</w:t>
            </w:r>
          </w:p>
        </w:tc>
      </w:tr>
      <w:tr w:rsidR="00E51AA6" w14:paraId="1A5A5AE8" w14:textId="77777777">
        <w:trPr>
          <w:trHeight w:val="397"/>
        </w:trPr>
        <w:tc>
          <w:tcPr>
            <w:tcW w:w="1834" w:type="dxa"/>
            <w:vMerge/>
          </w:tcPr>
          <w:p w14:paraId="42BFACC3" w14:textId="77777777" w:rsidR="00E51AA6" w:rsidRDefault="00E51AA6" w:rsidP="00FD61E0">
            <w:pPr>
              <w:spacing w:line="360" w:lineRule="auto"/>
              <w:ind w:leftChars="25" w:left="53" w:firstLineChars="5" w:firstLine="12"/>
              <w:rPr>
                <w:rFonts w:ascii="宋体" w:hAnsi="宋体" w:hint="eastAsia"/>
                <w:kern w:val="0"/>
                <w:sz w:val="24"/>
                <w:szCs w:val="24"/>
              </w:rPr>
            </w:pPr>
          </w:p>
        </w:tc>
        <w:tc>
          <w:tcPr>
            <w:tcW w:w="2198" w:type="dxa"/>
          </w:tcPr>
          <w:p w14:paraId="4E539B6B" w14:textId="77777777" w:rsidR="00E51AA6" w:rsidRDefault="00D53796" w:rsidP="00FD61E0">
            <w:pPr>
              <w:spacing w:line="360" w:lineRule="auto"/>
              <w:ind w:leftChars="25" w:left="53" w:firstLineChars="5" w:firstLine="12"/>
              <w:rPr>
                <w:rFonts w:ascii="宋体" w:hAnsi="宋体" w:hint="eastAsia"/>
                <w:kern w:val="0"/>
                <w:sz w:val="24"/>
                <w:szCs w:val="24"/>
              </w:rPr>
            </w:pPr>
            <w:r>
              <w:rPr>
                <w:rFonts w:asciiTheme="minorEastAsia" w:hAnsiTheme="minorEastAsia" w:hint="eastAsia"/>
                <w:sz w:val="24"/>
                <w:szCs w:val="24"/>
              </w:rPr>
              <w:t>审计收费总额</w:t>
            </w:r>
          </w:p>
        </w:tc>
        <w:tc>
          <w:tcPr>
            <w:tcW w:w="4473" w:type="dxa"/>
            <w:gridSpan w:val="6"/>
          </w:tcPr>
          <w:p w14:paraId="787E24E5" w14:textId="77777777" w:rsidR="00E51AA6" w:rsidRDefault="00D53796" w:rsidP="00FD61E0">
            <w:pPr>
              <w:spacing w:line="360" w:lineRule="auto"/>
              <w:ind w:firstLine="200"/>
              <w:jc w:val="center"/>
              <w:rPr>
                <w:rFonts w:ascii="宋体" w:hAnsi="宋体" w:hint="eastAsia"/>
                <w:kern w:val="0"/>
                <w:sz w:val="24"/>
                <w:szCs w:val="24"/>
                <w:highlight w:val="yellow"/>
              </w:rPr>
            </w:pPr>
            <w:r>
              <w:rPr>
                <w:rFonts w:asciiTheme="minorEastAsia" w:hAnsiTheme="minorEastAsia" w:hint="eastAsia"/>
                <w:sz w:val="24"/>
                <w:szCs w:val="24"/>
              </w:rPr>
              <w:t>7.35亿元</w:t>
            </w:r>
          </w:p>
        </w:tc>
      </w:tr>
      <w:tr w:rsidR="00E51AA6" w14:paraId="3D6341B3" w14:textId="77777777">
        <w:trPr>
          <w:trHeight w:val="397"/>
        </w:trPr>
        <w:tc>
          <w:tcPr>
            <w:tcW w:w="1834" w:type="dxa"/>
            <w:vMerge/>
          </w:tcPr>
          <w:p w14:paraId="175E378C" w14:textId="77777777" w:rsidR="00E51AA6" w:rsidRDefault="00E51AA6" w:rsidP="00FD61E0">
            <w:pPr>
              <w:spacing w:line="360" w:lineRule="auto"/>
              <w:ind w:leftChars="25" w:left="53" w:firstLineChars="5" w:firstLine="12"/>
              <w:rPr>
                <w:rFonts w:ascii="宋体" w:hAnsi="宋体" w:hint="eastAsia"/>
                <w:kern w:val="0"/>
                <w:sz w:val="24"/>
                <w:szCs w:val="24"/>
              </w:rPr>
            </w:pPr>
          </w:p>
        </w:tc>
        <w:tc>
          <w:tcPr>
            <w:tcW w:w="2198" w:type="dxa"/>
            <w:vAlign w:val="center"/>
          </w:tcPr>
          <w:p w14:paraId="1485B15B" w14:textId="77777777" w:rsidR="00E51AA6" w:rsidRDefault="00D53796" w:rsidP="00FD61E0">
            <w:pPr>
              <w:spacing w:line="360" w:lineRule="auto"/>
              <w:ind w:leftChars="50" w:left="465" w:hangingChars="150" w:hanging="360"/>
              <w:rPr>
                <w:rFonts w:ascii="宋体" w:hAnsi="宋体" w:hint="eastAsia"/>
                <w:kern w:val="0"/>
                <w:sz w:val="24"/>
                <w:szCs w:val="24"/>
              </w:rPr>
            </w:pPr>
            <w:r>
              <w:rPr>
                <w:rFonts w:ascii="宋体" w:hAnsi="宋体" w:hint="eastAsia"/>
                <w:kern w:val="0"/>
                <w:sz w:val="24"/>
                <w:szCs w:val="24"/>
              </w:rPr>
              <w:t>涉及主要行业</w:t>
            </w:r>
          </w:p>
        </w:tc>
        <w:tc>
          <w:tcPr>
            <w:tcW w:w="4473" w:type="dxa"/>
            <w:gridSpan w:val="6"/>
          </w:tcPr>
          <w:p w14:paraId="67F1AC13" w14:textId="77777777" w:rsidR="00E51AA6" w:rsidRDefault="00D53796" w:rsidP="00601157">
            <w:pPr>
              <w:spacing w:line="360" w:lineRule="auto"/>
              <w:ind w:leftChars="16" w:left="34"/>
              <w:rPr>
                <w:rFonts w:ascii="宋体" w:hAnsi="宋体" w:hint="eastAsia"/>
                <w:kern w:val="0"/>
                <w:sz w:val="24"/>
                <w:szCs w:val="24"/>
                <w:highlight w:val="yellow"/>
              </w:rPr>
            </w:pPr>
            <w:r>
              <w:rPr>
                <w:rFonts w:asciiTheme="minorEastAsia" w:hAnsiTheme="minorEastAsia" w:hint="eastAsia"/>
                <w:sz w:val="24"/>
                <w:szCs w:val="24"/>
              </w:rPr>
              <w:t>制造业，信息传输、软件和信息技术服务业，批发和零售业，水利、环境和公共设施管理业，电力、热力、燃气及水生产和供应业，科学研究和技术服务业，农、林、牧、渔业，文化、体育和娱乐业，建筑业，房地产业，租赁和商务服务业，采矿业，金融业，交通运输、仓储和邮政业，综合，卫生和社会工作等</w:t>
            </w:r>
          </w:p>
        </w:tc>
      </w:tr>
      <w:tr w:rsidR="00E51AA6" w14:paraId="39D0C22C" w14:textId="77777777">
        <w:trPr>
          <w:trHeight w:val="397"/>
        </w:trPr>
        <w:tc>
          <w:tcPr>
            <w:tcW w:w="1834" w:type="dxa"/>
            <w:vMerge/>
          </w:tcPr>
          <w:p w14:paraId="23DC3FFA" w14:textId="77777777" w:rsidR="00E51AA6" w:rsidRDefault="00E51AA6" w:rsidP="00FD61E0">
            <w:pPr>
              <w:spacing w:line="360" w:lineRule="auto"/>
              <w:ind w:leftChars="25" w:left="53" w:firstLineChars="5" w:firstLine="12"/>
              <w:rPr>
                <w:rFonts w:ascii="宋体" w:hAnsi="宋体" w:hint="eastAsia"/>
                <w:kern w:val="0"/>
                <w:sz w:val="24"/>
                <w:szCs w:val="24"/>
              </w:rPr>
            </w:pPr>
          </w:p>
        </w:tc>
        <w:tc>
          <w:tcPr>
            <w:tcW w:w="4829" w:type="dxa"/>
            <w:gridSpan w:val="5"/>
            <w:vAlign w:val="center"/>
          </w:tcPr>
          <w:p w14:paraId="538F2C64" w14:textId="77777777" w:rsidR="00E51AA6" w:rsidRDefault="00D53796" w:rsidP="00FD61E0">
            <w:pPr>
              <w:spacing w:line="360" w:lineRule="auto"/>
              <w:ind w:leftChars="50" w:left="465" w:hangingChars="150" w:hanging="360"/>
              <w:rPr>
                <w:rFonts w:ascii="宋体" w:hAnsi="宋体" w:hint="eastAsia"/>
                <w:color w:val="000000"/>
                <w:kern w:val="0"/>
                <w:sz w:val="24"/>
                <w:szCs w:val="24"/>
              </w:rPr>
            </w:pPr>
            <w:r>
              <w:rPr>
                <w:rFonts w:ascii="宋体" w:hAnsi="宋体" w:hint="eastAsia"/>
                <w:color w:val="000000"/>
                <w:kern w:val="0"/>
                <w:sz w:val="24"/>
                <w:szCs w:val="24"/>
              </w:rPr>
              <w:t>本公司同行业上市公司审计客户家数</w:t>
            </w:r>
          </w:p>
        </w:tc>
        <w:tc>
          <w:tcPr>
            <w:tcW w:w="1842" w:type="dxa"/>
            <w:gridSpan w:val="2"/>
            <w:vAlign w:val="center"/>
          </w:tcPr>
          <w:p w14:paraId="36A6D89D" w14:textId="77777777" w:rsidR="00E51AA6" w:rsidRDefault="00D53796" w:rsidP="00FD61E0">
            <w:pPr>
              <w:spacing w:line="360" w:lineRule="auto"/>
              <w:ind w:leftChars="16" w:left="34" w:firstLine="200"/>
              <w:rPr>
                <w:rFonts w:ascii="宋体" w:hAnsi="宋体" w:hint="eastAsia"/>
                <w:kern w:val="0"/>
                <w:sz w:val="24"/>
                <w:szCs w:val="24"/>
                <w:highlight w:val="yellow"/>
              </w:rPr>
            </w:pPr>
            <w:r>
              <w:rPr>
                <w:rFonts w:ascii="宋体" w:hAnsi="宋体" w:hint="eastAsia"/>
                <w:kern w:val="0"/>
                <w:sz w:val="24"/>
                <w:szCs w:val="24"/>
              </w:rPr>
              <w:t>578</w:t>
            </w:r>
          </w:p>
        </w:tc>
      </w:tr>
    </w:tbl>
    <w:p w14:paraId="666BBFC1" w14:textId="77777777" w:rsidR="00E51AA6" w:rsidRDefault="00D53796" w:rsidP="00FD61E0">
      <w:pPr>
        <w:adjustRightInd w:val="0"/>
        <w:snapToGrid w:val="0"/>
        <w:spacing w:line="360" w:lineRule="auto"/>
        <w:ind w:firstLineChars="200" w:firstLine="480"/>
      </w:pPr>
      <w:r>
        <w:rPr>
          <w:rFonts w:ascii="宋体" w:hAnsi="宋体" w:hint="eastAsia"/>
          <w:sz w:val="24"/>
          <w:szCs w:val="24"/>
        </w:rPr>
        <w:t>2</w:t>
      </w:r>
      <w:r>
        <w:rPr>
          <w:rFonts w:ascii="宋体" w:hAnsi="宋体"/>
          <w:sz w:val="24"/>
          <w:szCs w:val="24"/>
        </w:rPr>
        <w:t>.</w:t>
      </w:r>
      <w:r>
        <w:rPr>
          <w:rFonts w:asciiTheme="minorEastAsia" w:hAnsiTheme="minorEastAsia" w:hint="eastAsia"/>
          <w:sz w:val="24"/>
          <w:szCs w:val="24"/>
        </w:rPr>
        <w:t>投资者保护能力</w:t>
      </w:r>
    </w:p>
    <w:p w14:paraId="7061A287" w14:textId="77777777" w:rsidR="00E51AA6" w:rsidRDefault="00D53796" w:rsidP="00FD61E0">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天健会计师事务所（特殊普通合伙）具有良好的投资者保护能力，已按照相关法律法规要求计提职业风险基金和购买职业保险。截至2025年末，累计已计提职业风险基金和购买的职业保险累计赔偿限额合计超过2亿元，职业风险基金计提及职业保险购买符合财政部关于《会计师事务所职业风险基金管理办法》等文件的相关规定。</w:t>
      </w:r>
    </w:p>
    <w:p w14:paraId="69B88A7B" w14:textId="77777777" w:rsidR="00E51AA6" w:rsidRDefault="00D53796" w:rsidP="00FD61E0">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天健近三年存在执业行为相关民事诉讼，在执业行为相关民事诉讼中存在承担民事责任情况。天健近三年因执业行为在相关民事诉讼中被判定需承担民事责任的情况如下：</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1118"/>
        <w:gridCol w:w="1100"/>
        <w:gridCol w:w="3332"/>
        <w:gridCol w:w="2022"/>
      </w:tblGrid>
      <w:tr w:rsidR="00E51AA6" w14:paraId="3FD4B3BB" w14:textId="77777777">
        <w:tc>
          <w:tcPr>
            <w:tcW w:w="0" w:type="auto"/>
            <w:vAlign w:val="center"/>
          </w:tcPr>
          <w:p w14:paraId="15972535" w14:textId="77777777" w:rsidR="00E51AA6" w:rsidRDefault="00D53796" w:rsidP="002E467B">
            <w:pPr>
              <w:spacing w:line="360" w:lineRule="auto"/>
              <w:jc w:val="center"/>
            </w:pPr>
            <w:r>
              <w:rPr>
                <w:rFonts w:ascii="宋体" w:eastAsia="宋体" w:hAnsi="宋体" w:cs="宋体"/>
                <w:sz w:val="24"/>
              </w:rPr>
              <w:t>原告</w:t>
            </w:r>
          </w:p>
        </w:tc>
        <w:tc>
          <w:tcPr>
            <w:tcW w:w="0" w:type="auto"/>
            <w:vAlign w:val="center"/>
          </w:tcPr>
          <w:p w14:paraId="53A4670D" w14:textId="77777777" w:rsidR="00E51AA6" w:rsidRDefault="00D53796" w:rsidP="002E467B">
            <w:pPr>
              <w:spacing w:line="360" w:lineRule="auto"/>
              <w:jc w:val="center"/>
            </w:pPr>
            <w:r>
              <w:rPr>
                <w:rFonts w:ascii="宋体" w:eastAsia="宋体" w:hAnsi="宋体" w:cs="宋体"/>
                <w:sz w:val="24"/>
              </w:rPr>
              <w:t>被告</w:t>
            </w:r>
          </w:p>
        </w:tc>
        <w:tc>
          <w:tcPr>
            <w:tcW w:w="0" w:type="auto"/>
            <w:vAlign w:val="center"/>
          </w:tcPr>
          <w:p w14:paraId="5E6BE5B7" w14:textId="77777777" w:rsidR="002E467B" w:rsidRDefault="00D53796" w:rsidP="002E467B">
            <w:pPr>
              <w:spacing w:line="360" w:lineRule="auto"/>
              <w:jc w:val="center"/>
              <w:rPr>
                <w:rFonts w:ascii="宋体" w:eastAsia="宋体" w:hAnsi="宋体" w:cs="宋体" w:hint="eastAsia"/>
                <w:sz w:val="24"/>
              </w:rPr>
            </w:pPr>
            <w:r>
              <w:rPr>
                <w:rFonts w:ascii="宋体" w:eastAsia="宋体" w:hAnsi="宋体" w:cs="宋体"/>
                <w:sz w:val="24"/>
              </w:rPr>
              <w:t>案件</w:t>
            </w:r>
          </w:p>
          <w:p w14:paraId="62D8C502" w14:textId="32BED7DC" w:rsidR="00E51AA6" w:rsidRDefault="00D53796" w:rsidP="002E467B">
            <w:pPr>
              <w:spacing w:line="360" w:lineRule="auto"/>
              <w:jc w:val="center"/>
            </w:pPr>
            <w:r>
              <w:rPr>
                <w:rFonts w:ascii="宋体" w:eastAsia="宋体" w:hAnsi="宋体" w:cs="宋体"/>
                <w:sz w:val="24"/>
              </w:rPr>
              <w:t>时间</w:t>
            </w:r>
          </w:p>
        </w:tc>
        <w:tc>
          <w:tcPr>
            <w:tcW w:w="0" w:type="auto"/>
            <w:vAlign w:val="center"/>
          </w:tcPr>
          <w:p w14:paraId="1B2FD987" w14:textId="77777777" w:rsidR="00E51AA6" w:rsidRDefault="00D53796" w:rsidP="002E467B">
            <w:pPr>
              <w:spacing w:line="360" w:lineRule="auto"/>
              <w:jc w:val="center"/>
            </w:pPr>
            <w:r>
              <w:rPr>
                <w:rFonts w:ascii="宋体" w:eastAsia="宋体" w:hAnsi="宋体" w:cs="宋体"/>
                <w:sz w:val="24"/>
              </w:rPr>
              <w:t>主要案情</w:t>
            </w:r>
          </w:p>
        </w:tc>
        <w:tc>
          <w:tcPr>
            <w:tcW w:w="0" w:type="auto"/>
            <w:vAlign w:val="center"/>
          </w:tcPr>
          <w:p w14:paraId="73DAF9AC" w14:textId="77777777" w:rsidR="00E51AA6" w:rsidRDefault="00D53796" w:rsidP="002E467B">
            <w:pPr>
              <w:spacing w:line="360" w:lineRule="auto"/>
              <w:jc w:val="center"/>
            </w:pPr>
            <w:r>
              <w:rPr>
                <w:rFonts w:ascii="宋体" w:eastAsia="宋体" w:hAnsi="宋体" w:cs="宋体"/>
                <w:sz w:val="24"/>
              </w:rPr>
              <w:t>诉讼进展</w:t>
            </w:r>
          </w:p>
        </w:tc>
      </w:tr>
      <w:tr w:rsidR="00E51AA6" w14:paraId="7BC0C7B7" w14:textId="77777777">
        <w:tc>
          <w:tcPr>
            <w:tcW w:w="0" w:type="auto"/>
            <w:vAlign w:val="center"/>
          </w:tcPr>
          <w:p w14:paraId="62A3B13B" w14:textId="77777777" w:rsidR="00E51AA6" w:rsidRDefault="00D53796" w:rsidP="00FD61E0">
            <w:pPr>
              <w:spacing w:line="360" w:lineRule="auto"/>
              <w:ind w:firstLine="200"/>
              <w:jc w:val="center"/>
            </w:pPr>
            <w:r>
              <w:rPr>
                <w:rFonts w:ascii="宋体" w:eastAsia="宋体" w:hAnsi="宋体" w:cs="宋体"/>
                <w:sz w:val="24"/>
              </w:rPr>
              <w:t>投</w:t>
            </w:r>
            <w:r>
              <w:rPr>
                <w:rFonts w:ascii="宋体" w:eastAsia="宋体" w:hAnsi="宋体" w:cs="宋体"/>
                <w:sz w:val="24"/>
              </w:rPr>
              <w:lastRenderedPageBreak/>
              <w:t>资者</w:t>
            </w:r>
          </w:p>
        </w:tc>
        <w:tc>
          <w:tcPr>
            <w:tcW w:w="0" w:type="auto"/>
            <w:vAlign w:val="center"/>
          </w:tcPr>
          <w:p w14:paraId="3A7267A3" w14:textId="77777777" w:rsidR="00E51AA6" w:rsidRDefault="00D53796" w:rsidP="00FD61E0">
            <w:pPr>
              <w:spacing w:line="360" w:lineRule="auto"/>
              <w:ind w:firstLine="200"/>
              <w:jc w:val="center"/>
            </w:pPr>
            <w:r>
              <w:rPr>
                <w:rFonts w:ascii="宋体" w:eastAsia="宋体" w:hAnsi="宋体" w:cs="宋体"/>
                <w:sz w:val="24"/>
              </w:rPr>
              <w:lastRenderedPageBreak/>
              <w:t>华仪</w:t>
            </w:r>
            <w:r>
              <w:rPr>
                <w:rFonts w:ascii="宋体" w:eastAsia="宋体" w:hAnsi="宋体" w:cs="宋体"/>
                <w:sz w:val="24"/>
              </w:rPr>
              <w:lastRenderedPageBreak/>
              <w:t>电气、东海证券、天健</w:t>
            </w:r>
          </w:p>
        </w:tc>
        <w:tc>
          <w:tcPr>
            <w:tcW w:w="0" w:type="auto"/>
            <w:vAlign w:val="center"/>
          </w:tcPr>
          <w:p w14:paraId="10A5014E" w14:textId="77777777" w:rsidR="00E51AA6" w:rsidRDefault="00D53796" w:rsidP="00FD61E0">
            <w:pPr>
              <w:spacing w:line="360" w:lineRule="auto"/>
              <w:ind w:firstLine="200"/>
              <w:jc w:val="center"/>
            </w:pPr>
            <w:r>
              <w:rPr>
                <w:rFonts w:ascii="宋体" w:eastAsia="宋体" w:hAnsi="宋体" w:cs="宋体"/>
                <w:sz w:val="24"/>
              </w:rPr>
              <w:lastRenderedPageBreak/>
              <w:t>2024</w:t>
            </w:r>
            <w:r>
              <w:rPr>
                <w:rFonts w:ascii="宋体" w:eastAsia="宋体" w:hAnsi="宋体" w:cs="宋体"/>
                <w:sz w:val="24"/>
              </w:rPr>
              <w:lastRenderedPageBreak/>
              <w:t>年3月6日</w:t>
            </w:r>
          </w:p>
        </w:tc>
        <w:tc>
          <w:tcPr>
            <w:tcW w:w="0" w:type="auto"/>
            <w:vAlign w:val="center"/>
          </w:tcPr>
          <w:p w14:paraId="35EE426B" w14:textId="77777777" w:rsidR="00E51AA6" w:rsidRDefault="00D53796" w:rsidP="00FB0BA5">
            <w:pPr>
              <w:spacing w:line="360" w:lineRule="auto"/>
            </w:pPr>
            <w:r>
              <w:rPr>
                <w:rFonts w:ascii="宋体" w:eastAsia="宋体" w:hAnsi="宋体" w:cs="宋体"/>
                <w:sz w:val="24"/>
              </w:rPr>
              <w:lastRenderedPageBreak/>
              <w:t>天健作为华仪电气2017年度、</w:t>
            </w:r>
            <w:r>
              <w:rPr>
                <w:rFonts w:ascii="宋体" w:eastAsia="宋体" w:hAnsi="宋体" w:cs="宋体"/>
                <w:sz w:val="24"/>
              </w:rPr>
              <w:lastRenderedPageBreak/>
              <w:t>2019年度年报审计机构，因华仪电气涉嫌财务造假，在后续证券虚假陈述诉讼案件中被列为共同被告，要求承担连带赔偿责任。</w:t>
            </w:r>
          </w:p>
        </w:tc>
        <w:tc>
          <w:tcPr>
            <w:tcW w:w="0" w:type="auto"/>
            <w:vAlign w:val="center"/>
          </w:tcPr>
          <w:p w14:paraId="793D4858" w14:textId="77777777" w:rsidR="00E51AA6" w:rsidRDefault="00D53796" w:rsidP="00FD61E0">
            <w:pPr>
              <w:spacing w:line="360" w:lineRule="auto"/>
              <w:ind w:firstLine="200"/>
              <w:jc w:val="center"/>
            </w:pPr>
            <w:r>
              <w:rPr>
                <w:rFonts w:ascii="宋体" w:eastAsia="宋体" w:hAnsi="宋体" w:cs="宋体"/>
                <w:sz w:val="24"/>
              </w:rPr>
              <w:lastRenderedPageBreak/>
              <w:t>已完结（天健</w:t>
            </w:r>
            <w:r>
              <w:rPr>
                <w:rFonts w:ascii="宋体" w:eastAsia="宋体" w:hAnsi="宋体" w:cs="宋体"/>
                <w:sz w:val="24"/>
              </w:rPr>
              <w:lastRenderedPageBreak/>
              <w:t>需在5%的范围内与华仪电气承担连带责任，天健已按期履行判决）</w:t>
            </w:r>
          </w:p>
        </w:tc>
      </w:tr>
    </w:tbl>
    <w:p w14:paraId="2DF97CBC" w14:textId="77777777" w:rsidR="00E51AA6" w:rsidRDefault="00D53796" w:rsidP="00FD61E0">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上述案件已完结，且天健已按期履行终审判决，不会对本所履行能力产生任何不利影响。</w:t>
      </w:r>
    </w:p>
    <w:p w14:paraId="79DDCE55" w14:textId="77777777" w:rsidR="00E51AA6" w:rsidRDefault="00D53796" w:rsidP="00FD61E0">
      <w:pPr>
        <w:adjustRightInd w:val="0"/>
        <w:snapToGrid w:val="0"/>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3.诚信记录</w:t>
      </w:r>
    </w:p>
    <w:p w14:paraId="59F48A9C" w14:textId="77777777" w:rsidR="00E51AA6" w:rsidRDefault="00D53796" w:rsidP="00FD61E0">
      <w:pPr>
        <w:adjustRightInd w:val="0"/>
        <w:snapToGrid w:val="0"/>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天健会计师事务所（特殊普通合伙）近三年（2023年1月1日至2025年12月31日）因执业行为受到行政处罚4次、监督管理措施17次、自律监管措施13次，纪律处分5次，未受到刑事处罚。112名从业人员近三年因执业行为受到行政处罚15人次、监督管理措施63人次、自律监管措施42人次、纪律处分23人次，未受到刑事处罚。</w:t>
      </w:r>
    </w:p>
    <w:p w14:paraId="46C4DF61" w14:textId="77777777"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（二</w:t>
      </w:r>
      <w:r>
        <w:rPr>
          <w:rFonts w:ascii="宋体" w:eastAsia="宋体" w:hAnsi="宋体"/>
          <w:color w:val="000000" w:themeColor="text1"/>
          <w:sz w:val="24"/>
          <w:szCs w:val="24"/>
        </w:rPr>
        <w:t>）</w:t>
      </w:r>
      <w:r>
        <w:rPr>
          <w:rFonts w:ascii="宋体" w:eastAsia="宋体" w:hAnsi="宋体" w:hint="eastAsia"/>
          <w:color w:val="000000" w:themeColor="text1"/>
          <w:sz w:val="24"/>
          <w:szCs w:val="24"/>
        </w:rPr>
        <w:t>项目信息</w:t>
      </w:r>
    </w:p>
    <w:p w14:paraId="09BA75AB" w14:textId="421EF199" w:rsidR="00E51AA6" w:rsidRPr="00124DF0" w:rsidRDefault="00D53796" w:rsidP="00FD61E0">
      <w:pPr>
        <w:spacing w:line="360" w:lineRule="auto"/>
        <w:ind w:firstLineChars="200" w:firstLine="480"/>
        <w:rPr>
          <w:rFonts w:ascii="宋体" w:eastAsia="宋体" w:hAnsi="宋体" w:hint="eastAsia"/>
          <w:color w:val="000000" w:themeColor="text1"/>
          <w:sz w:val="24"/>
          <w:szCs w:val="24"/>
        </w:rPr>
      </w:pPr>
      <w:r w:rsidRPr="00124DF0">
        <w:rPr>
          <w:rFonts w:ascii="宋体" w:eastAsia="宋体" w:hAnsi="宋体" w:hint="eastAsia"/>
          <w:color w:val="000000" w:themeColor="text1"/>
          <w:sz w:val="24"/>
          <w:szCs w:val="24"/>
        </w:rPr>
        <w:t>1</w:t>
      </w:r>
      <w:r w:rsidRPr="00124DF0">
        <w:rPr>
          <w:rFonts w:ascii="宋体" w:eastAsia="宋体" w:hAnsi="宋体"/>
          <w:color w:val="000000" w:themeColor="text1"/>
          <w:sz w:val="24"/>
          <w:szCs w:val="24"/>
        </w:rPr>
        <w:t>.</w:t>
      </w:r>
      <w:r w:rsidRPr="00124DF0">
        <w:rPr>
          <w:rFonts w:ascii="宋体" w:eastAsia="宋体" w:hAnsi="宋体" w:hint="eastAsia"/>
          <w:color w:val="000000" w:themeColor="text1"/>
          <w:sz w:val="24"/>
          <w:szCs w:val="24"/>
        </w:rPr>
        <w:t xml:space="preserve"> 项目基本</w:t>
      </w:r>
      <w:r w:rsidRPr="00124DF0">
        <w:rPr>
          <w:rFonts w:ascii="宋体" w:eastAsia="宋体" w:hAnsi="宋体"/>
          <w:color w:val="000000" w:themeColor="text1"/>
          <w:sz w:val="24"/>
          <w:szCs w:val="24"/>
        </w:rPr>
        <w:t>信息</w:t>
      </w:r>
    </w:p>
    <w:p w14:paraId="1FD320E1" w14:textId="1AB6C23A"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项目合伙人及签字注册会计师：严燕鸿，2008年起成为注册会计师，2005年开始从事上市公司审计，2008年开始在天健会计师事务所执业，2026年起为本公司提供审计服务；近三年签署或复核13家上市公司审计报告。</w:t>
      </w:r>
    </w:p>
    <w:p w14:paraId="2611ADAC" w14:textId="77777777"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签字注册会计师：范一鸣，2019年起成为注册会计师，2017年开始从事上市公司审计，2019年开始在本所执业，2025年起为本公司提供审计服务；近三年签署或复核3家上市公司审计报告。</w:t>
      </w:r>
    </w:p>
    <w:p w14:paraId="5E3D8A12" w14:textId="77777777" w:rsidR="00E51AA6" w:rsidRDefault="00D53796" w:rsidP="00FD61E0">
      <w:pPr>
        <w:adjustRightInd w:val="0"/>
        <w:snapToGrid w:val="0"/>
        <w:spacing w:line="360" w:lineRule="auto"/>
        <w:ind w:firstLineChars="200" w:firstLine="480"/>
        <w:rPr>
          <w:rFonts w:asciiTheme="minorEastAsia" w:hAnsiTheme="minorEastAsia" w:hint="eastAsia"/>
          <w:iCs/>
          <w:sz w:val="24"/>
          <w:szCs w:val="24"/>
        </w:rPr>
      </w:pPr>
      <w:r>
        <w:rPr>
          <w:rFonts w:asciiTheme="minorEastAsia" w:hAnsiTheme="minorEastAsia" w:hint="eastAsia"/>
          <w:iCs/>
          <w:sz w:val="24"/>
          <w:szCs w:val="24"/>
        </w:rPr>
        <w:t>项目质量复核人员：赛宗鹏，2010年起成为注册会计师，2010年开始从事上市公司审计，2010年开始在本所执业，2025年起为本公司提供审计服务；近三年签署或复核4家上市公司审计报告。</w:t>
      </w:r>
    </w:p>
    <w:p w14:paraId="616A46CA" w14:textId="77777777"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w:t>
      </w:r>
      <w:r>
        <w:rPr>
          <w:rFonts w:ascii="宋体" w:eastAsia="宋体" w:hAnsi="宋体" w:hint="eastAsia"/>
          <w:color w:val="000000" w:themeColor="text1"/>
          <w:sz w:val="24"/>
          <w:szCs w:val="24"/>
        </w:rPr>
        <w:t>诚信记录</w:t>
      </w:r>
    </w:p>
    <w:p w14:paraId="4E0BD945" w14:textId="77777777" w:rsidR="00E51AA6" w:rsidRDefault="00D53796" w:rsidP="00FD61E0">
      <w:pPr>
        <w:adjustRightInd w:val="0"/>
        <w:snapToGrid w:val="0"/>
        <w:spacing w:line="360" w:lineRule="auto"/>
        <w:ind w:leftChars="50" w:left="105" w:firstLineChars="200" w:firstLine="480"/>
        <w:rPr>
          <w:rFonts w:ascii="宋体" w:eastAsia="宋体" w:hAnsi="宋体" w:cs="Times New Roman" w:hint="eastAsia"/>
          <w:sz w:val="24"/>
          <w:szCs w:val="24"/>
        </w:rPr>
      </w:pPr>
      <w:r>
        <w:rPr>
          <w:rFonts w:ascii="宋体" w:eastAsia="宋体" w:hAnsi="宋体" w:cs="Times New Roman" w:hint="eastAsia"/>
          <w:sz w:val="24"/>
          <w:szCs w:val="24"/>
        </w:rPr>
        <w:t>项目合伙人、签字注册会计师、项目质量复核人员近三年不存在因执业行为受到刑事处罚，受到证监会及其派出机构、行业主管部门等的行政处罚、监督管理措施，受到证券交易所、行业协会等自律组织的自律监管措施、纪律处分的情况。</w:t>
      </w:r>
    </w:p>
    <w:p w14:paraId="7547EC58" w14:textId="77777777" w:rsidR="00E51AA6" w:rsidRDefault="00D53796" w:rsidP="00FD61E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3.独立性</w:t>
      </w:r>
    </w:p>
    <w:p w14:paraId="6F3EB791" w14:textId="77777777" w:rsidR="00E51AA6" w:rsidRDefault="00D53796" w:rsidP="00FD61E0">
      <w:pPr>
        <w:adjustRightInd w:val="0"/>
        <w:snapToGrid w:val="0"/>
        <w:spacing w:line="360" w:lineRule="auto"/>
        <w:ind w:leftChars="50" w:left="105"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天健会计师事务所（特殊普通合伙）及项目合伙人、签字注册会计师、项目质量复核人员不存在可能影响独立性的情形。</w:t>
      </w:r>
    </w:p>
    <w:p w14:paraId="6372F0B1" w14:textId="77777777" w:rsidR="00E51AA6" w:rsidRDefault="00D53796" w:rsidP="00FD61E0">
      <w:pPr>
        <w:spacing w:line="360" w:lineRule="auto"/>
        <w:ind w:firstLineChars="200" w:firstLine="480"/>
        <w:rPr>
          <w:rFonts w:ascii="宋体" w:eastAsia="宋体" w:hAnsi="宋体" w:cs="Times New Roman" w:hint="eastAsia"/>
          <w:color w:val="000000" w:themeColor="text1"/>
          <w:position w:val="-1"/>
          <w:sz w:val="24"/>
          <w:szCs w:val="24"/>
        </w:rPr>
      </w:pPr>
      <w:r>
        <w:rPr>
          <w:rFonts w:ascii="宋体" w:eastAsia="宋体" w:hAnsi="宋体" w:cs="Times New Roman"/>
          <w:color w:val="000000" w:themeColor="text1"/>
          <w:position w:val="-1"/>
          <w:sz w:val="24"/>
          <w:szCs w:val="24"/>
        </w:rPr>
        <w:t>4</w:t>
      </w:r>
      <w:r>
        <w:rPr>
          <w:rFonts w:ascii="宋体" w:eastAsia="宋体" w:hAnsi="宋体" w:cs="Times New Roman" w:hint="eastAsia"/>
          <w:color w:val="000000" w:themeColor="text1"/>
          <w:position w:val="-1"/>
          <w:sz w:val="24"/>
          <w:szCs w:val="24"/>
        </w:rPr>
        <w:t>、审计收费</w:t>
      </w:r>
    </w:p>
    <w:p w14:paraId="1AB5F718" w14:textId="77777777" w:rsidR="00E51AA6" w:rsidRDefault="00D53796" w:rsidP="00FB0BA5">
      <w:pPr>
        <w:spacing w:line="360" w:lineRule="auto"/>
        <w:ind w:firstLineChars="200" w:firstLine="480"/>
        <w:rPr>
          <w:rFonts w:ascii="宋体" w:eastAsia="宋体" w:hAnsi="宋体" w:cs="Times New Roman" w:hint="eastAsia"/>
          <w:color w:val="000000" w:themeColor="text1"/>
          <w:position w:val="-1"/>
          <w:sz w:val="24"/>
          <w:szCs w:val="24"/>
        </w:rPr>
      </w:pPr>
      <w:r>
        <w:rPr>
          <w:rFonts w:ascii="宋体" w:eastAsia="宋体" w:hAnsi="宋体" w:cs="Times New Roman" w:hint="eastAsia"/>
          <w:color w:val="000000" w:themeColor="text1"/>
          <w:position w:val="-1"/>
          <w:sz w:val="24"/>
          <w:szCs w:val="24"/>
        </w:rPr>
        <w:t>202</w:t>
      </w:r>
      <w:r>
        <w:rPr>
          <w:rFonts w:ascii="宋体" w:eastAsia="宋体" w:hAnsi="宋体" w:cs="Times New Roman"/>
          <w:color w:val="000000" w:themeColor="text1"/>
          <w:position w:val="-1"/>
          <w:sz w:val="24"/>
          <w:szCs w:val="24"/>
        </w:rPr>
        <w:t>5</w:t>
      </w:r>
      <w:r>
        <w:rPr>
          <w:rFonts w:ascii="宋体" w:eastAsia="宋体" w:hAnsi="宋体" w:cs="Times New Roman" w:hint="eastAsia"/>
          <w:color w:val="000000" w:themeColor="text1"/>
          <w:position w:val="-1"/>
          <w:sz w:val="24"/>
          <w:szCs w:val="24"/>
        </w:rPr>
        <w:t>年度审计报告费用为</w:t>
      </w:r>
      <w:r>
        <w:rPr>
          <w:rFonts w:ascii="宋体" w:eastAsia="宋体" w:hAnsi="宋体" w:cs="Times New Roman"/>
          <w:color w:val="000000" w:themeColor="text1"/>
          <w:position w:val="-1"/>
          <w:sz w:val="24"/>
          <w:szCs w:val="24"/>
        </w:rPr>
        <w:t>70</w:t>
      </w:r>
      <w:r>
        <w:rPr>
          <w:rFonts w:ascii="宋体" w:eastAsia="宋体" w:hAnsi="宋体" w:cs="Times New Roman" w:hint="eastAsia"/>
          <w:color w:val="000000" w:themeColor="text1"/>
          <w:position w:val="-1"/>
          <w:sz w:val="24"/>
          <w:szCs w:val="24"/>
        </w:rPr>
        <w:t>万元（含税），内部控制鉴证报告20万元（含税），系按照市场公允合理的定价原则，基于公司的业务规模、审计工作的复杂程度、事务所提供审计服务所需配备的审计人员和投入的工作量等因素综合考虑，经双方协商后确定。公司董事会提请股东会授权管理层根据审计工作实际情况与天健会计师事务所(特殊普通合伙)协商确定2026年度审计费用。</w:t>
      </w:r>
    </w:p>
    <w:p w14:paraId="5424A5AA" w14:textId="77777777" w:rsidR="00E51AA6" w:rsidRDefault="00D53796" w:rsidP="00FD61E0">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三、拟</w:t>
      </w:r>
      <w:r>
        <w:rPr>
          <w:rFonts w:ascii="宋体" w:eastAsia="宋体" w:hAnsi="宋体"/>
          <w:b/>
          <w:sz w:val="24"/>
          <w:szCs w:val="24"/>
        </w:rPr>
        <w:t>续聘会计师事务所履行的程序</w:t>
      </w:r>
    </w:p>
    <w:p w14:paraId="1CF45828" w14:textId="77777777"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1、审计委员会审议情况</w:t>
      </w:r>
    </w:p>
    <w:p w14:paraId="64E6B17F" w14:textId="77777777"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公司第六届董事会审计委员会202</w:t>
      </w:r>
      <w:r>
        <w:rPr>
          <w:rFonts w:ascii="宋体" w:eastAsia="宋体" w:hAnsi="宋体"/>
          <w:sz w:val="24"/>
          <w:szCs w:val="24"/>
        </w:rPr>
        <w:t>6年第一次会议审议通过了</w:t>
      </w:r>
      <w:r>
        <w:rPr>
          <w:rFonts w:ascii="宋体" w:eastAsia="宋体" w:hAnsi="宋体" w:hint="eastAsia"/>
          <w:sz w:val="24"/>
          <w:szCs w:val="24"/>
        </w:rPr>
        <w:t>《关于续聘天健会计师事务所（特殊普通合伙）为公司202</w:t>
      </w:r>
      <w:r>
        <w:rPr>
          <w:rFonts w:ascii="宋体" w:eastAsia="宋体" w:hAnsi="宋体"/>
          <w:sz w:val="24"/>
          <w:szCs w:val="24"/>
        </w:rPr>
        <w:t>6</w:t>
      </w:r>
      <w:r>
        <w:rPr>
          <w:rFonts w:ascii="宋体" w:eastAsia="宋体" w:hAnsi="宋体" w:hint="eastAsia"/>
          <w:sz w:val="24"/>
          <w:szCs w:val="24"/>
        </w:rPr>
        <w:t>年度审计机构的议案》，审计委员会对天健会计师事务所（特殊普通合伙）提供审计服务的经验和能力进行了审查，认为其在执业过程中坚持独立审计原则，客观、公正、公允地反映公司财务状况、经营成果、切实履行了审计机构应尽的职责，同意向董事会提议续聘天健会计师事务所（特殊普通合伙）为公司202</w:t>
      </w:r>
      <w:r>
        <w:rPr>
          <w:rFonts w:ascii="宋体" w:eastAsia="宋体" w:hAnsi="宋体"/>
          <w:sz w:val="24"/>
          <w:szCs w:val="24"/>
        </w:rPr>
        <w:t>6</w:t>
      </w:r>
      <w:r>
        <w:rPr>
          <w:rFonts w:ascii="宋体" w:eastAsia="宋体" w:hAnsi="宋体" w:hint="eastAsia"/>
          <w:sz w:val="24"/>
          <w:szCs w:val="24"/>
        </w:rPr>
        <w:t>年度审计机构。</w:t>
      </w:r>
    </w:p>
    <w:p w14:paraId="57B59B28" w14:textId="77777777"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、董事会审议情况</w:t>
      </w:r>
    </w:p>
    <w:p w14:paraId="6D0E38E7" w14:textId="00165179"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公司</w:t>
      </w:r>
      <w:r w:rsidR="00970878">
        <w:rPr>
          <w:rFonts w:ascii="宋体" w:eastAsia="宋体" w:hAnsi="宋体" w:hint="eastAsia"/>
          <w:sz w:val="24"/>
          <w:szCs w:val="24"/>
        </w:rPr>
        <w:t>于2026年4月24日召开的</w:t>
      </w:r>
      <w:r>
        <w:rPr>
          <w:rFonts w:ascii="宋体" w:eastAsia="宋体" w:hAnsi="宋体" w:hint="eastAsia"/>
          <w:sz w:val="24"/>
          <w:szCs w:val="24"/>
        </w:rPr>
        <w:t>第六届董事会第六次会议</w:t>
      </w:r>
      <w:r w:rsidR="00970878">
        <w:rPr>
          <w:rFonts w:ascii="宋体" w:eastAsia="宋体" w:hAnsi="宋体" w:hint="eastAsia"/>
          <w:sz w:val="24"/>
          <w:szCs w:val="24"/>
        </w:rPr>
        <w:t>以7票同意、0票反对、0票弃权的表决结果</w:t>
      </w:r>
      <w:r>
        <w:rPr>
          <w:rFonts w:ascii="宋体" w:eastAsia="宋体" w:hAnsi="宋体" w:hint="eastAsia"/>
          <w:sz w:val="24"/>
          <w:szCs w:val="24"/>
        </w:rPr>
        <w:t>审议通过了《关于续聘天健会计师事务所（特殊普通合伙）为公司202</w:t>
      </w:r>
      <w:r>
        <w:rPr>
          <w:rFonts w:ascii="宋体" w:eastAsia="宋体" w:hAnsi="宋体"/>
          <w:sz w:val="24"/>
          <w:szCs w:val="24"/>
        </w:rPr>
        <w:t>6</w:t>
      </w:r>
      <w:r>
        <w:rPr>
          <w:rFonts w:ascii="宋体" w:eastAsia="宋体" w:hAnsi="宋体" w:hint="eastAsia"/>
          <w:sz w:val="24"/>
          <w:szCs w:val="24"/>
        </w:rPr>
        <w:t>年度审计机构的议案》，同意续聘天健会计师事务所（特殊普通合伙）为公司202</w:t>
      </w:r>
      <w:r>
        <w:rPr>
          <w:rFonts w:ascii="宋体" w:eastAsia="宋体" w:hAnsi="宋体"/>
          <w:sz w:val="24"/>
          <w:szCs w:val="24"/>
        </w:rPr>
        <w:t>6</w:t>
      </w:r>
      <w:r>
        <w:rPr>
          <w:rFonts w:ascii="宋体" w:eastAsia="宋体" w:hAnsi="宋体" w:hint="eastAsia"/>
          <w:sz w:val="24"/>
          <w:szCs w:val="24"/>
        </w:rPr>
        <w:t>年度审计机构。本次续聘会计师事务所事项尚需提交公司2025年年度股东会审议。</w:t>
      </w:r>
    </w:p>
    <w:p w14:paraId="23E3F105" w14:textId="77777777"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sz w:val="24"/>
          <w:szCs w:val="24"/>
        </w:rPr>
        <w:t>3、本次续聘会计师事务所事项尚需提交股东会审议，自股东会决议通过之日起生效。</w:t>
      </w:r>
    </w:p>
    <w:p w14:paraId="55A9DAEC" w14:textId="77777777" w:rsidR="00E51AA6" w:rsidRDefault="00D53796" w:rsidP="00FD61E0">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四</w:t>
      </w:r>
      <w:r>
        <w:rPr>
          <w:rFonts w:ascii="宋体" w:eastAsia="宋体" w:hAnsi="宋体"/>
          <w:b/>
          <w:sz w:val="24"/>
          <w:szCs w:val="24"/>
        </w:rPr>
        <w:t>、备查文件</w:t>
      </w:r>
    </w:p>
    <w:p w14:paraId="704063E0" w14:textId="77777777" w:rsidR="00E51AA6" w:rsidRDefault="00D53796" w:rsidP="00FD61E0">
      <w:pPr>
        <w:spacing w:line="360" w:lineRule="auto"/>
        <w:ind w:firstLineChars="200" w:firstLine="480"/>
        <w:rPr>
          <w:rFonts w:ascii="宋体" w:eastAsia="宋体" w:hAnsi="宋体" w:hint="eastAsia"/>
          <w:sz w:val="24"/>
        </w:rPr>
      </w:pPr>
      <w:r>
        <w:rPr>
          <w:rFonts w:ascii="宋体" w:eastAsia="宋体" w:hAnsi="宋体" w:hint="eastAsia"/>
          <w:sz w:val="24"/>
        </w:rPr>
        <w:t>1、公司第六届董事会第六次会议决议；</w:t>
      </w:r>
    </w:p>
    <w:p w14:paraId="6D1E88C0" w14:textId="77777777" w:rsidR="00E51AA6" w:rsidRDefault="00D53796" w:rsidP="00FD61E0">
      <w:pPr>
        <w:spacing w:line="360" w:lineRule="auto"/>
        <w:ind w:firstLineChars="200" w:firstLine="480"/>
        <w:rPr>
          <w:rFonts w:ascii="宋体" w:eastAsia="宋体" w:hAnsi="宋体" w:hint="eastAsia"/>
          <w:sz w:val="24"/>
        </w:rPr>
      </w:pPr>
      <w:r>
        <w:rPr>
          <w:rFonts w:ascii="宋体" w:eastAsia="宋体" w:hAnsi="宋体" w:hint="eastAsia"/>
          <w:sz w:val="24"/>
        </w:rPr>
        <w:t>2、公司第六届董事会审计委员会2026年第一次会议决议；</w:t>
      </w:r>
    </w:p>
    <w:p w14:paraId="21F5B360" w14:textId="77777777" w:rsidR="00E51AA6" w:rsidRDefault="00D53796" w:rsidP="00FD61E0">
      <w:pPr>
        <w:spacing w:line="360" w:lineRule="auto"/>
        <w:ind w:firstLineChars="200" w:firstLine="480"/>
        <w:rPr>
          <w:rFonts w:ascii="宋体" w:eastAsia="宋体" w:hAnsi="宋体" w:hint="eastAsia"/>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w:t>
      </w:r>
      <w:r>
        <w:rPr>
          <w:rFonts w:ascii="宋体" w:eastAsia="宋体" w:hAnsi="宋体" w:hint="eastAsia"/>
          <w:color w:val="000000" w:themeColor="text1"/>
          <w:sz w:val="24"/>
          <w:szCs w:val="24"/>
        </w:rPr>
        <w:t>天健会计师事务所（特殊普通合伙）及拟签字注册会计师</w:t>
      </w:r>
      <w:r>
        <w:rPr>
          <w:rFonts w:ascii="宋体" w:eastAsia="宋体" w:hAnsi="宋体" w:hint="eastAsia"/>
          <w:color w:val="000000" w:themeColor="text1"/>
          <w:sz w:val="24"/>
        </w:rPr>
        <w:t>相关资质文件；</w:t>
      </w:r>
    </w:p>
    <w:p w14:paraId="446A8BE3" w14:textId="77777777" w:rsidR="00E51AA6" w:rsidRDefault="00D53796" w:rsidP="00FD61E0">
      <w:pPr>
        <w:spacing w:line="360" w:lineRule="auto"/>
        <w:ind w:firstLineChars="200" w:firstLine="480"/>
        <w:rPr>
          <w:rFonts w:ascii="宋体" w:eastAsia="宋体" w:hAnsi="宋体" w:hint="eastAsia"/>
          <w:color w:val="000000" w:themeColor="text1"/>
          <w:sz w:val="24"/>
        </w:rPr>
      </w:pPr>
      <w:r>
        <w:rPr>
          <w:rFonts w:ascii="宋体" w:eastAsia="宋体" w:hAnsi="宋体" w:hint="eastAsia"/>
          <w:color w:val="000000" w:themeColor="text1"/>
          <w:sz w:val="24"/>
        </w:rPr>
        <w:t>4、深交所要求的其他文件。</w:t>
      </w:r>
    </w:p>
    <w:p w14:paraId="69EF24B1" w14:textId="77777777" w:rsidR="00E51AA6" w:rsidRDefault="00D53796" w:rsidP="00FD61E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本事项尚需提交公司股东会审议。</w:t>
      </w:r>
    </w:p>
    <w:p w14:paraId="165F8AB2" w14:textId="77777777" w:rsidR="00E51AA6" w:rsidRDefault="00D53796" w:rsidP="00FD61E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特此公告。</w:t>
      </w:r>
    </w:p>
    <w:p w14:paraId="6A5893D2" w14:textId="77777777" w:rsidR="00E51AA6" w:rsidRDefault="00E51AA6">
      <w:pPr>
        <w:spacing w:line="360" w:lineRule="auto"/>
        <w:rPr>
          <w:rFonts w:ascii="宋体" w:eastAsia="宋体" w:hAnsi="宋体" w:hint="eastAsia"/>
          <w:sz w:val="24"/>
          <w:szCs w:val="24"/>
        </w:rPr>
      </w:pPr>
    </w:p>
    <w:p w14:paraId="632BD23A" w14:textId="77777777" w:rsidR="00E51AA6" w:rsidRDefault="00D53796">
      <w:pPr>
        <w:spacing w:line="360" w:lineRule="auto"/>
        <w:jc w:val="right"/>
        <w:rPr>
          <w:rFonts w:ascii="宋体" w:eastAsia="宋体" w:hAnsi="宋体" w:hint="eastAsia"/>
          <w:sz w:val="24"/>
          <w:szCs w:val="24"/>
        </w:rPr>
      </w:pPr>
      <w:r>
        <w:rPr>
          <w:rFonts w:ascii="宋体" w:eastAsia="宋体" w:hAnsi="宋体" w:hint="eastAsia"/>
          <w:sz w:val="24"/>
          <w:szCs w:val="24"/>
        </w:rPr>
        <w:t>浙江</w:t>
      </w:r>
      <w:r>
        <w:rPr>
          <w:rFonts w:ascii="宋体" w:eastAsia="宋体" w:hAnsi="宋体"/>
          <w:sz w:val="24"/>
          <w:szCs w:val="24"/>
        </w:rPr>
        <w:t>威星智能仪表</w:t>
      </w:r>
      <w:r>
        <w:rPr>
          <w:rFonts w:ascii="宋体" w:eastAsia="宋体" w:hAnsi="宋体" w:hint="eastAsia"/>
          <w:sz w:val="24"/>
          <w:szCs w:val="24"/>
        </w:rPr>
        <w:t>股份</w:t>
      </w:r>
      <w:r>
        <w:rPr>
          <w:rFonts w:ascii="宋体" w:eastAsia="宋体" w:hAnsi="宋体"/>
          <w:sz w:val="24"/>
          <w:szCs w:val="24"/>
        </w:rPr>
        <w:t>有限公司</w:t>
      </w:r>
    </w:p>
    <w:p w14:paraId="232CED57" w14:textId="77777777" w:rsidR="00E51AA6" w:rsidRDefault="00D53796">
      <w:pPr>
        <w:spacing w:line="360" w:lineRule="auto"/>
        <w:jc w:val="right"/>
        <w:rPr>
          <w:rFonts w:ascii="宋体" w:eastAsia="宋体" w:hAnsi="宋体" w:hint="eastAsia"/>
          <w:sz w:val="24"/>
          <w:szCs w:val="24"/>
        </w:rPr>
      </w:pPr>
      <w:r>
        <w:rPr>
          <w:rFonts w:ascii="宋体" w:eastAsia="宋体" w:hAnsi="宋体" w:hint="eastAsia"/>
          <w:sz w:val="24"/>
          <w:szCs w:val="24"/>
        </w:rPr>
        <w:t>董事会</w:t>
      </w:r>
      <w:r>
        <w:rPr>
          <w:rFonts w:ascii="宋体" w:eastAsia="宋体" w:hAnsi="宋体"/>
          <w:sz w:val="24"/>
          <w:szCs w:val="24"/>
        </w:rPr>
        <w:t xml:space="preserve"> </w:t>
      </w:r>
    </w:p>
    <w:p w14:paraId="0D99D629" w14:textId="77777777" w:rsidR="00E51AA6" w:rsidRDefault="00D53796">
      <w:pPr>
        <w:spacing w:line="360" w:lineRule="auto"/>
        <w:jc w:val="right"/>
        <w:rPr>
          <w:rFonts w:ascii="宋体" w:eastAsia="宋体" w:hAnsi="宋体" w:hint="eastAsia"/>
          <w:sz w:val="24"/>
          <w:szCs w:val="24"/>
        </w:rPr>
      </w:pPr>
      <w:r>
        <w:rPr>
          <w:rFonts w:ascii="宋体" w:eastAsia="宋体" w:hAnsi="宋体"/>
          <w:sz w:val="24"/>
          <w:szCs w:val="24"/>
        </w:rPr>
        <w:t>2026</w:t>
      </w:r>
      <w:r>
        <w:rPr>
          <w:rFonts w:ascii="宋体" w:eastAsia="宋体" w:hAnsi="宋体" w:hint="eastAsia"/>
          <w:sz w:val="24"/>
          <w:szCs w:val="24"/>
        </w:rPr>
        <w:t>年</w:t>
      </w:r>
      <w:r>
        <w:rPr>
          <w:rFonts w:ascii="宋体" w:eastAsia="宋体" w:hAnsi="宋体"/>
          <w:sz w:val="24"/>
          <w:szCs w:val="24"/>
        </w:rPr>
        <w:t>4</w:t>
      </w:r>
      <w:r>
        <w:rPr>
          <w:rFonts w:ascii="宋体" w:eastAsia="宋体" w:hAnsi="宋体" w:hint="eastAsia"/>
          <w:sz w:val="24"/>
          <w:szCs w:val="24"/>
        </w:rPr>
        <w:t>月</w:t>
      </w:r>
      <w:r>
        <w:rPr>
          <w:rFonts w:ascii="宋体" w:eastAsia="宋体" w:hAnsi="宋体"/>
          <w:sz w:val="24"/>
        </w:rPr>
        <w:t>28</w:t>
      </w:r>
      <w:r>
        <w:rPr>
          <w:rFonts w:ascii="宋体" w:eastAsia="宋体" w:hAnsi="宋体" w:hint="eastAsia"/>
          <w:sz w:val="24"/>
          <w:szCs w:val="24"/>
        </w:rPr>
        <w:t>日</w:t>
      </w:r>
    </w:p>
    <w:sectPr w:rsidR="00E51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83"/>
    <w:rsid w:val="000056BD"/>
    <w:rsid w:val="00014C52"/>
    <w:rsid w:val="00025655"/>
    <w:rsid w:val="00032B61"/>
    <w:rsid w:val="00033625"/>
    <w:rsid w:val="00046E83"/>
    <w:rsid w:val="00050BCB"/>
    <w:rsid w:val="0005617E"/>
    <w:rsid w:val="00056CA1"/>
    <w:rsid w:val="000657C8"/>
    <w:rsid w:val="00065C6E"/>
    <w:rsid w:val="000820FE"/>
    <w:rsid w:val="00090BAB"/>
    <w:rsid w:val="000B09C0"/>
    <w:rsid w:val="000B1ED3"/>
    <w:rsid w:val="000C200D"/>
    <w:rsid w:val="000C34C9"/>
    <w:rsid w:val="000C65E9"/>
    <w:rsid w:val="000D284F"/>
    <w:rsid w:val="000E7550"/>
    <w:rsid w:val="000F17DE"/>
    <w:rsid w:val="000F6C8E"/>
    <w:rsid w:val="001074BD"/>
    <w:rsid w:val="0012009A"/>
    <w:rsid w:val="0012464A"/>
    <w:rsid w:val="00124DF0"/>
    <w:rsid w:val="00131E61"/>
    <w:rsid w:val="0013423E"/>
    <w:rsid w:val="0015438A"/>
    <w:rsid w:val="00160713"/>
    <w:rsid w:val="00166F1F"/>
    <w:rsid w:val="00171088"/>
    <w:rsid w:val="001761D8"/>
    <w:rsid w:val="00177468"/>
    <w:rsid w:val="0018278F"/>
    <w:rsid w:val="00183702"/>
    <w:rsid w:val="00186E6E"/>
    <w:rsid w:val="00195C75"/>
    <w:rsid w:val="001A3C24"/>
    <w:rsid w:val="001A7F32"/>
    <w:rsid w:val="001B2EC8"/>
    <w:rsid w:val="001E299F"/>
    <w:rsid w:val="001F177D"/>
    <w:rsid w:val="001F33B6"/>
    <w:rsid w:val="00203777"/>
    <w:rsid w:val="0020580F"/>
    <w:rsid w:val="002241C4"/>
    <w:rsid w:val="002350BF"/>
    <w:rsid w:val="002369FF"/>
    <w:rsid w:val="002373FA"/>
    <w:rsid w:val="0027798A"/>
    <w:rsid w:val="002A7356"/>
    <w:rsid w:val="002A750E"/>
    <w:rsid w:val="002B30F0"/>
    <w:rsid w:val="002C1801"/>
    <w:rsid w:val="002C1ED9"/>
    <w:rsid w:val="002C5101"/>
    <w:rsid w:val="002D1939"/>
    <w:rsid w:val="002E102D"/>
    <w:rsid w:val="002E39F2"/>
    <w:rsid w:val="002E44D9"/>
    <w:rsid w:val="002E467B"/>
    <w:rsid w:val="002E536B"/>
    <w:rsid w:val="0032384D"/>
    <w:rsid w:val="00327051"/>
    <w:rsid w:val="00351A65"/>
    <w:rsid w:val="00352B87"/>
    <w:rsid w:val="003531AE"/>
    <w:rsid w:val="00371509"/>
    <w:rsid w:val="003B78CC"/>
    <w:rsid w:val="003C2244"/>
    <w:rsid w:val="003C27B8"/>
    <w:rsid w:val="003D46B3"/>
    <w:rsid w:val="003E29DD"/>
    <w:rsid w:val="003E6EC6"/>
    <w:rsid w:val="003E718B"/>
    <w:rsid w:val="004114F0"/>
    <w:rsid w:val="00417A6F"/>
    <w:rsid w:val="00420357"/>
    <w:rsid w:val="00431E49"/>
    <w:rsid w:val="0043689E"/>
    <w:rsid w:val="0044793A"/>
    <w:rsid w:val="00454CE0"/>
    <w:rsid w:val="00481CF5"/>
    <w:rsid w:val="0049776A"/>
    <w:rsid w:val="004A262D"/>
    <w:rsid w:val="004A53FD"/>
    <w:rsid w:val="004C5DCC"/>
    <w:rsid w:val="0050026D"/>
    <w:rsid w:val="005104F2"/>
    <w:rsid w:val="00514D06"/>
    <w:rsid w:val="00515422"/>
    <w:rsid w:val="00542536"/>
    <w:rsid w:val="00545196"/>
    <w:rsid w:val="005463DC"/>
    <w:rsid w:val="00563AED"/>
    <w:rsid w:val="00582D30"/>
    <w:rsid w:val="0058506E"/>
    <w:rsid w:val="00587469"/>
    <w:rsid w:val="00587F35"/>
    <w:rsid w:val="005B4507"/>
    <w:rsid w:val="005B4E04"/>
    <w:rsid w:val="005B7ED9"/>
    <w:rsid w:val="005D1FB2"/>
    <w:rsid w:val="005D6AA4"/>
    <w:rsid w:val="005D7876"/>
    <w:rsid w:val="00600AD0"/>
    <w:rsid w:val="00601157"/>
    <w:rsid w:val="006023A0"/>
    <w:rsid w:val="0061327A"/>
    <w:rsid w:val="00616F80"/>
    <w:rsid w:val="00632DC6"/>
    <w:rsid w:val="00645DB7"/>
    <w:rsid w:val="006471FB"/>
    <w:rsid w:val="00660294"/>
    <w:rsid w:val="00663811"/>
    <w:rsid w:val="00695AF6"/>
    <w:rsid w:val="006B2E43"/>
    <w:rsid w:val="006D2E78"/>
    <w:rsid w:val="006D531D"/>
    <w:rsid w:val="006D5348"/>
    <w:rsid w:val="006D5822"/>
    <w:rsid w:val="0070070F"/>
    <w:rsid w:val="00704967"/>
    <w:rsid w:val="00711C00"/>
    <w:rsid w:val="0071509E"/>
    <w:rsid w:val="00736785"/>
    <w:rsid w:val="007448F5"/>
    <w:rsid w:val="00755727"/>
    <w:rsid w:val="00786039"/>
    <w:rsid w:val="00796C8F"/>
    <w:rsid w:val="007A04A2"/>
    <w:rsid w:val="007B0F1D"/>
    <w:rsid w:val="007B1F32"/>
    <w:rsid w:val="007B652A"/>
    <w:rsid w:val="007C20C3"/>
    <w:rsid w:val="007C2272"/>
    <w:rsid w:val="007E41CA"/>
    <w:rsid w:val="007F48BD"/>
    <w:rsid w:val="00804EC1"/>
    <w:rsid w:val="00811EF3"/>
    <w:rsid w:val="00812A8E"/>
    <w:rsid w:val="008245C0"/>
    <w:rsid w:val="00824B4B"/>
    <w:rsid w:val="00857A8C"/>
    <w:rsid w:val="0087315E"/>
    <w:rsid w:val="008762CF"/>
    <w:rsid w:val="008819ED"/>
    <w:rsid w:val="00892B26"/>
    <w:rsid w:val="0089343C"/>
    <w:rsid w:val="008A330C"/>
    <w:rsid w:val="008A42DF"/>
    <w:rsid w:val="008B4E26"/>
    <w:rsid w:val="008C3B06"/>
    <w:rsid w:val="008C470D"/>
    <w:rsid w:val="008D4E5A"/>
    <w:rsid w:val="008E6E53"/>
    <w:rsid w:val="008F0EC9"/>
    <w:rsid w:val="008F1314"/>
    <w:rsid w:val="008F4555"/>
    <w:rsid w:val="0091034B"/>
    <w:rsid w:val="00910BBB"/>
    <w:rsid w:val="009309A4"/>
    <w:rsid w:val="009546A6"/>
    <w:rsid w:val="0095724D"/>
    <w:rsid w:val="00970878"/>
    <w:rsid w:val="0097613C"/>
    <w:rsid w:val="00983F4C"/>
    <w:rsid w:val="00991D60"/>
    <w:rsid w:val="00994D33"/>
    <w:rsid w:val="009C6B6B"/>
    <w:rsid w:val="009E030D"/>
    <w:rsid w:val="009E2838"/>
    <w:rsid w:val="009E3F83"/>
    <w:rsid w:val="009E4CA0"/>
    <w:rsid w:val="009F1137"/>
    <w:rsid w:val="009F16C5"/>
    <w:rsid w:val="009F7897"/>
    <w:rsid w:val="00A03D5C"/>
    <w:rsid w:val="00A06D4E"/>
    <w:rsid w:val="00A1135B"/>
    <w:rsid w:val="00A11B52"/>
    <w:rsid w:val="00A246D7"/>
    <w:rsid w:val="00A50682"/>
    <w:rsid w:val="00A514C1"/>
    <w:rsid w:val="00A64A28"/>
    <w:rsid w:val="00A70840"/>
    <w:rsid w:val="00A731A3"/>
    <w:rsid w:val="00A74E94"/>
    <w:rsid w:val="00A83A1F"/>
    <w:rsid w:val="00A85331"/>
    <w:rsid w:val="00A8729A"/>
    <w:rsid w:val="00A926F4"/>
    <w:rsid w:val="00A95D7F"/>
    <w:rsid w:val="00AA1694"/>
    <w:rsid w:val="00AA3CF5"/>
    <w:rsid w:val="00AA4A29"/>
    <w:rsid w:val="00AA4AE5"/>
    <w:rsid w:val="00AA729C"/>
    <w:rsid w:val="00AB1416"/>
    <w:rsid w:val="00AC2895"/>
    <w:rsid w:val="00AC3600"/>
    <w:rsid w:val="00AC49A2"/>
    <w:rsid w:val="00AD5307"/>
    <w:rsid w:val="00AE412D"/>
    <w:rsid w:val="00AF0632"/>
    <w:rsid w:val="00AF2D23"/>
    <w:rsid w:val="00AF47EA"/>
    <w:rsid w:val="00B1079E"/>
    <w:rsid w:val="00B20476"/>
    <w:rsid w:val="00B2634A"/>
    <w:rsid w:val="00B339DA"/>
    <w:rsid w:val="00B37278"/>
    <w:rsid w:val="00B71A35"/>
    <w:rsid w:val="00B77A0B"/>
    <w:rsid w:val="00B85237"/>
    <w:rsid w:val="00BA5943"/>
    <w:rsid w:val="00BA69F7"/>
    <w:rsid w:val="00BB1E77"/>
    <w:rsid w:val="00BB5E64"/>
    <w:rsid w:val="00BE4909"/>
    <w:rsid w:val="00C35548"/>
    <w:rsid w:val="00C40308"/>
    <w:rsid w:val="00C6091B"/>
    <w:rsid w:val="00C62CE4"/>
    <w:rsid w:val="00C67A1F"/>
    <w:rsid w:val="00C70FB2"/>
    <w:rsid w:val="00C739CE"/>
    <w:rsid w:val="00C74EE8"/>
    <w:rsid w:val="00C80698"/>
    <w:rsid w:val="00C93505"/>
    <w:rsid w:val="00C94FC6"/>
    <w:rsid w:val="00CA00B9"/>
    <w:rsid w:val="00CB1B13"/>
    <w:rsid w:val="00CC24BC"/>
    <w:rsid w:val="00CC2EAD"/>
    <w:rsid w:val="00CE3835"/>
    <w:rsid w:val="00CF0957"/>
    <w:rsid w:val="00CF6EC4"/>
    <w:rsid w:val="00CF7A2B"/>
    <w:rsid w:val="00D06B0B"/>
    <w:rsid w:val="00D1094A"/>
    <w:rsid w:val="00D13B46"/>
    <w:rsid w:val="00D23BF6"/>
    <w:rsid w:val="00D35049"/>
    <w:rsid w:val="00D47FF6"/>
    <w:rsid w:val="00D515AE"/>
    <w:rsid w:val="00D53796"/>
    <w:rsid w:val="00D548CD"/>
    <w:rsid w:val="00D71E78"/>
    <w:rsid w:val="00D918E6"/>
    <w:rsid w:val="00DA545C"/>
    <w:rsid w:val="00DB14FF"/>
    <w:rsid w:val="00DB202C"/>
    <w:rsid w:val="00DB4817"/>
    <w:rsid w:val="00DC6D36"/>
    <w:rsid w:val="00DD5F25"/>
    <w:rsid w:val="00DE0E83"/>
    <w:rsid w:val="00DE652E"/>
    <w:rsid w:val="00DF08F0"/>
    <w:rsid w:val="00DF19B1"/>
    <w:rsid w:val="00E0015D"/>
    <w:rsid w:val="00E06723"/>
    <w:rsid w:val="00E23C91"/>
    <w:rsid w:val="00E25EC7"/>
    <w:rsid w:val="00E31B80"/>
    <w:rsid w:val="00E349C4"/>
    <w:rsid w:val="00E37B64"/>
    <w:rsid w:val="00E467CA"/>
    <w:rsid w:val="00E51AA6"/>
    <w:rsid w:val="00E65617"/>
    <w:rsid w:val="00E74587"/>
    <w:rsid w:val="00E9212A"/>
    <w:rsid w:val="00EA479F"/>
    <w:rsid w:val="00EA58D0"/>
    <w:rsid w:val="00EC7AD4"/>
    <w:rsid w:val="00EE4795"/>
    <w:rsid w:val="00F0209E"/>
    <w:rsid w:val="00F10308"/>
    <w:rsid w:val="00F11790"/>
    <w:rsid w:val="00F20A74"/>
    <w:rsid w:val="00F26FE1"/>
    <w:rsid w:val="00F36CE4"/>
    <w:rsid w:val="00F50D10"/>
    <w:rsid w:val="00F5751F"/>
    <w:rsid w:val="00F60E4F"/>
    <w:rsid w:val="00F62C82"/>
    <w:rsid w:val="00F72810"/>
    <w:rsid w:val="00FA3617"/>
    <w:rsid w:val="00FA6872"/>
    <w:rsid w:val="00FB0720"/>
    <w:rsid w:val="00FB0BA5"/>
    <w:rsid w:val="00FB3FD1"/>
    <w:rsid w:val="00FB5928"/>
    <w:rsid w:val="00FD1A1E"/>
    <w:rsid w:val="00FD61E0"/>
    <w:rsid w:val="00FD7136"/>
    <w:rsid w:val="1B4819A5"/>
    <w:rsid w:val="36CD5213"/>
    <w:rsid w:val="42337AD7"/>
    <w:rsid w:val="4A5751EC"/>
    <w:rsid w:val="5CFB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5F4B9"/>
  <w15:docId w15:val="{F5370BDF-E0BF-4B1D-AC0D-4FB208FF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c">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日期 字符"/>
    <w:basedOn w:val="a0"/>
    <w:link w:val="a3"/>
    <w:uiPriority w:val="99"/>
    <w:semiHidden/>
    <w:qFormat/>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paragraph" w:styleId="ad">
    <w:name w:val="No Spacing"/>
    <w:uiPriority w:val="1"/>
    <w:qFormat/>
    <w:pPr>
      <w:widowControl w:val="0"/>
      <w:jc w:val="both"/>
    </w:pPr>
    <w:rPr>
      <w:kern w:val="2"/>
      <w:sz w:val="21"/>
      <w:szCs w:val="22"/>
    </w:rPr>
  </w:style>
  <w:style w:type="character" w:customStyle="1" w:styleId="ant-descriptions-item-content2">
    <w:name w:val="ant-descriptions-item-content2"/>
    <w:basedOn w:val="a0"/>
    <w:autoRedefine/>
    <w:qFormat/>
    <w:rPr>
      <w:sz w:val="21"/>
      <w:szCs w:val="21"/>
    </w:rPr>
  </w:style>
  <w:style w:type="table" w:customStyle="1" w:styleId="10">
    <w:name w:val="网格型1"/>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unhideWhenUsed/>
    <w:qFormat/>
    <w:rPr>
      <w:kern w:val="2"/>
      <w:sz w:val="21"/>
      <w:szCs w:val="22"/>
    </w:rPr>
  </w:style>
  <w:style w:type="paragraph" w:styleId="ae">
    <w:name w:val="Revision"/>
    <w:hidden/>
    <w:uiPriority w:val="99"/>
    <w:unhideWhenUsed/>
    <w:rsid w:val="00124D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CABD-6376-4D81-83E4-8416558C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1399</Words>
  <Characters>1497</Characters>
  <Application>Microsoft Office Word</Application>
  <DocSecurity>0</DocSecurity>
  <Lines>93</Lines>
  <Paragraphs>90</Paragraphs>
  <ScaleCrop>false</ScaleCrop>
  <Company>Microsoft</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 冰玮</dc:creator>
  <cp:lastModifiedBy>chen xiao hui</cp:lastModifiedBy>
  <cp:revision>53</cp:revision>
  <cp:lastPrinted>2026-04-16T08:42:00Z</cp:lastPrinted>
  <dcterms:created xsi:type="dcterms:W3CDTF">2024-04-07T02:06:00Z</dcterms:created>
  <dcterms:modified xsi:type="dcterms:W3CDTF">2026-04-25T12:21:00Z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eyJoZGlkIjoiYmZlM2Y5M2RjODZkOTJkM2RlMzg2ZDM5ZTk4ZTI5ODciLCJ1c2VySWQiOiIxNDg3NTYwMDkxIn0=</vt:lpwstr>
  </property>
  <property fmtid="{D5CDD505-2E9C-101B-9397-08002B2CF9AE}" pid="3" name="KSOProductBuildVer">
    <vt:lpwstr>2052-12.1.0.20305</vt:lpwstr>
  </property>
  <property fmtid="{D5CDD505-2E9C-101B-9397-08002B2CF9AE}" pid="4" name="ICV">
    <vt:lpwstr>7E078E4488EF418D8B2B98301426A8E8_12</vt:lpwstr>
  </property>
</Properties>
</file>