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1F6A" w14:textId="1BA8AEDB" w:rsidR="00EA35DA" w:rsidRDefault="003C20E8">
      <w:pPr>
        <w:spacing w:line="360" w:lineRule="auto"/>
        <w:rPr>
          <w:rFonts w:ascii="宋体" w:eastAsia="宋体" w:hAnsi="宋体" w:hint="eastAsia"/>
          <w:b/>
          <w:sz w:val="28"/>
        </w:rPr>
      </w:pPr>
      <w:r>
        <w:rPr>
          <w:rFonts w:ascii="宋体" w:eastAsia="宋体" w:hAnsi="宋体"/>
          <w:sz w:val="24"/>
        </w:rPr>
        <w:t>证券代码：002849          证券简称</w:t>
      </w:r>
      <w:r>
        <w:rPr>
          <w:rFonts w:ascii="宋体" w:eastAsia="宋体" w:hAnsi="宋体" w:hint="eastAsia"/>
          <w:sz w:val="24"/>
        </w:rPr>
        <w:t xml:space="preserve">：威星智能 </w:t>
      </w:r>
      <w:r>
        <w:rPr>
          <w:rFonts w:ascii="宋体" w:eastAsia="宋体" w:hAnsi="宋体"/>
          <w:sz w:val="24"/>
        </w:rPr>
        <w:t xml:space="preserve">      </w:t>
      </w:r>
      <w:r>
        <w:rPr>
          <w:rFonts w:ascii="宋体" w:eastAsia="宋体" w:hAnsi="宋体" w:hint="eastAsia"/>
          <w:sz w:val="24"/>
        </w:rPr>
        <w:t>公告编号：202</w:t>
      </w:r>
      <w:r w:rsidR="004A0AD8">
        <w:rPr>
          <w:rFonts w:ascii="宋体" w:eastAsia="宋体" w:hAnsi="宋体" w:hint="eastAsia"/>
          <w:sz w:val="24"/>
        </w:rPr>
        <w:t>6</w:t>
      </w:r>
      <w:r>
        <w:rPr>
          <w:rFonts w:ascii="宋体" w:eastAsia="宋体" w:hAnsi="宋体"/>
          <w:sz w:val="24"/>
        </w:rPr>
        <w:t>-0</w:t>
      </w:r>
      <w:r w:rsidR="006F6029">
        <w:rPr>
          <w:rFonts w:ascii="宋体" w:eastAsia="宋体" w:hAnsi="宋体" w:hint="eastAsia"/>
          <w:sz w:val="24"/>
        </w:rPr>
        <w:t>1</w:t>
      </w:r>
      <w:r w:rsidR="00D53E4D">
        <w:rPr>
          <w:rFonts w:ascii="宋体" w:eastAsia="宋体" w:hAnsi="宋体" w:hint="eastAsia"/>
          <w:sz w:val="24"/>
        </w:rPr>
        <w:t>6</w:t>
      </w:r>
    </w:p>
    <w:p w14:paraId="4EB5E0C7" w14:textId="77777777" w:rsidR="00135E96" w:rsidRDefault="00135E96">
      <w:pPr>
        <w:spacing w:line="360" w:lineRule="auto"/>
        <w:jc w:val="center"/>
        <w:rPr>
          <w:rFonts w:ascii="宋体" w:eastAsia="宋体" w:hAnsi="宋体" w:hint="eastAsia"/>
          <w:b/>
          <w:sz w:val="28"/>
        </w:rPr>
      </w:pPr>
    </w:p>
    <w:p w14:paraId="327CFFC5" w14:textId="77777777" w:rsidR="00EA35DA" w:rsidRDefault="003C20E8">
      <w:pPr>
        <w:spacing w:line="360" w:lineRule="auto"/>
        <w:jc w:val="center"/>
        <w:rPr>
          <w:rFonts w:ascii="宋体" w:eastAsia="宋体" w:hAnsi="宋体" w:hint="eastAsia"/>
          <w:b/>
          <w:sz w:val="28"/>
        </w:rPr>
      </w:pPr>
      <w:r>
        <w:rPr>
          <w:rFonts w:ascii="宋体" w:eastAsia="宋体" w:hAnsi="宋体"/>
          <w:b/>
          <w:sz w:val="28"/>
        </w:rPr>
        <w:t>浙江威星智能</w:t>
      </w:r>
      <w:r>
        <w:rPr>
          <w:rFonts w:ascii="宋体" w:eastAsia="宋体" w:hAnsi="宋体" w:hint="eastAsia"/>
          <w:b/>
          <w:sz w:val="28"/>
        </w:rPr>
        <w:t>仪表</w:t>
      </w:r>
      <w:r>
        <w:rPr>
          <w:rFonts w:ascii="宋体" w:eastAsia="宋体" w:hAnsi="宋体"/>
          <w:b/>
          <w:sz w:val="28"/>
        </w:rPr>
        <w:t>股份有限公司</w:t>
      </w:r>
    </w:p>
    <w:p w14:paraId="006CFB5E" w14:textId="77777777" w:rsidR="00EA35DA" w:rsidRDefault="003C20E8">
      <w:pPr>
        <w:spacing w:line="360" w:lineRule="auto"/>
        <w:jc w:val="center"/>
        <w:rPr>
          <w:rFonts w:ascii="宋体" w:eastAsia="宋体" w:hAnsi="宋体" w:hint="eastAsia"/>
          <w:b/>
          <w:sz w:val="28"/>
        </w:rPr>
      </w:pPr>
      <w:r>
        <w:rPr>
          <w:rFonts w:ascii="宋体" w:eastAsia="宋体" w:hAnsi="宋体" w:hint="eastAsia"/>
          <w:b/>
          <w:sz w:val="28"/>
        </w:rPr>
        <w:t>关于202</w:t>
      </w:r>
      <w:r w:rsidR="004A0AD8">
        <w:rPr>
          <w:rFonts w:ascii="宋体" w:eastAsia="宋体" w:hAnsi="宋体"/>
          <w:b/>
          <w:sz w:val="28"/>
        </w:rPr>
        <w:t>6</w:t>
      </w:r>
      <w:r>
        <w:rPr>
          <w:rFonts w:ascii="宋体" w:eastAsia="宋体" w:hAnsi="宋体" w:hint="eastAsia"/>
          <w:b/>
          <w:sz w:val="28"/>
        </w:rPr>
        <w:t>年度向金融机构</w:t>
      </w:r>
      <w:bookmarkStart w:id="0" w:name="OLE_LINK1"/>
      <w:r>
        <w:rPr>
          <w:rFonts w:ascii="宋体" w:eastAsia="宋体" w:hAnsi="宋体" w:hint="eastAsia"/>
          <w:b/>
          <w:sz w:val="28"/>
        </w:rPr>
        <w:t>申请综合授信额度</w:t>
      </w:r>
      <w:bookmarkEnd w:id="0"/>
      <w:r>
        <w:rPr>
          <w:rFonts w:ascii="宋体" w:eastAsia="宋体" w:hAnsi="宋体" w:hint="eastAsia"/>
          <w:b/>
          <w:sz w:val="28"/>
        </w:rPr>
        <w:t>的公告</w:t>
      </w:r>
    </w:p>
    <w:p w14:paraId="6FF3ED9B" w14:textId="77777777" w:rsidR="00EA35DA" w:rsidRDefault="00EA35DA">
      <w:pPr>
        <w:spacing w:line="360" w:lineRule="auto"/>
        <w:jc w:val="center"/>
        <w:rPr>
          <w:rFonts w:ascii="宋体" w:eastAsia="宋体" w:hAnsi="宋体" w:hint="eastAsia"/>
          <w:b/>
          <w:sz w:val="28"/>
        </w:rPr>
      </w:pPr>
    </w:p>
    <w:p w14:paraId="7BEF56CE" w14:textId="77777777" w:rsidR="00EA35DA" w:rsidRDefault="003C20E8">
      <w:pPr>
        <w:widowControl/>
        <w:pBdr>
          <w:top w:val="single" w:sz="4" w:space="1" w:color="auto"/>
          <w:left w:val="single" w:sz="4" w:space="4" w:color="auto"/>
          <w:bottom w:val="single" w:sz="4" w:space="1" w:color="auto"/>
          <w:right w:val="single" w:sz="4" w:space="0" w:color="auto"/>
        </w:pBdr>
        <w:spacing w:line="360" w:lineRule="auto"/>
        <w:ind w:firstLineChars="200" w:firstLine="482"/>
        <w:rPr>
          <w:rFonts w:ascii="宋体" w:eastAsia="宋体" w:hAnsi="宋体" w:cs="宋体" w:hint="eastAsia"/>
          <w:b/>
          <w:kern w:val="0"/>
          <w:sz w:val="24"/>
          <w:szCs w:val="24"/>
        </w:rPr>
      </w:pPr>
      <w:r>
        <w:rPr>
          <w:rFonts w:ascii="宋体" w:eastAsia="宋体" w:hAnsi="宋体" w:cs="宋体" w:hint="eastAsia"/>
          <w:b/>
          <w:kern w:val="0"/>
          <w:sz w:val="24"/>
        </w:rPr>
        <w:t>本公司及董事会全体成员</w:t>
      </w:r>
      <w:r>
        <w:rPr>
          <w:rFonts w:ascii="宋体" w:eastAsia="宋体" w:hAnsi="宋体" w:cs="宋体"/>
          <w:b/>
          <w:kern w:val="0"/>
          <w:sz w:val="24"/>
        </w:rPr>
        <w:t>保证信息披露的内容真实、准确、完整，没有虚假</w:t>
      </w:r>
      <w:r>
        <w:rPr>
          <w:rFonts w:ascii="宋体" w:eastAsia="宋体" w:hAnsi="宋体" w:cs="宋体"/>
          <w:b/>
          <w:kern w:val="0"/>
          <w:sz w:val="24"/>
          <w:szCs w:val="24"/>
        </w:rPr>
        <w:t>记载、误导性陈述或重大遗漏。</w:t>
      </w:r>
    </w:p>
    <w:p w14:paraId="27E22030" w14:textId="733E0EE0" w:rsidR="00EA35DA" w:rsidRDefault="003C20E8">
      <w:pPr>
        <w:spacing w:before="240" w:line="360" w:lineRule="auto"/>
        <w:ind w:firstLineChars="200" w:firstLine="480"/>
        <w:rPr>
          <w:rFonts w:ascii="宋体" w:eastAsia="宋体" w:hAnsi="宋体" w:hint="eastAsia"/>
          <w:sz w:val="24"/>
        </w:rPr>
      </w:pPr>
      <w:r>
        <w:rPr>
          <w:rFonts w:ascii="宋体" w:eastAsia="宋体" w:hAnsi="宋体" w:hint="eastAsia"/>
          <w:sz w:val="24"/>
        </w:rPr>
        <w:t>浙江威星智能仪表股份有限公司（以下简称“公司”或“威星智能”）</w:t>
      </w:r>
      <w:r>
        <w:rPr>
          <w:rFonts w:ascii="宋体" w:eastAsia="宋体" w:hAnsi="宋体"/>
          <w:sz w:val="24"/>
        </w:rPr>
        <w:t>于202</w:t>
      </w:r>
      <w:r w:rsidR="004A0AD8">
        <w:rPr>
          <w:rFonts w:ascii="宋体" w:eastAsia="宋体" w:hAnsi="宋体" w:hint="eastAsia"/>
          <w:sz w:val="24"/>
        </w:rPr>
        <w:t>6</w:t>
      </w:r>
      <w:r>
        <w:rPr>
          <w:rFonts w:ascii="宋体" w:eastAsia="宋体" w:hAnsi="宋体"/>
          <w:sz w:val="24"/>
        </w:rPr>
        <w:t>年4月2</w:t>
      </w:r>
      <w:r w:rsidR="004A0AD8">
        <w:rPr>
          <w:rFonts w:ascii="宋体" w:eastAsia="宋体" w:hAnsi="宋体" w:hint="eastAsia"/>
          <w:sz w:val="24"/>
        </w:rPr>
        <w:t>4</w:t>
      </w:r>
      <w:r>
        <w:rPr>
          <w:rFonts w:ascii="宋体" w:eastAsia="宋体" w:hAnsi="宋体"/>
          <w:sz w:val="24"/>
        </w:rPr>
        <w:t>日召开第</w:t>
      </w:r>
      <w:r>
        <w:rPr>
          <w:rFonts w:ascii="宋体" w:eastAsia="宋体" w:hAnsi="宋体" w:hint="eastAsia"/>
          <w:sz w:val="24"/>
        </w:rPr>
        <w:t>六</w:t>
      </w:r>
      <w:r>
        <w:rPr>
          <w:rFonts w:ascii="宋体" w:eastAsia="宋体" w:hAnsi="宋体"/>
          <w:sz w:val="24"/>
        </w:rPr>
        <w:t>届董事会第</w:t>
      </w:r>
      <w:r w:rsidR="004A0AD8">
        <w:rPr>
          <w:rFonts w:ascii="宋体" w:eastAsia="宋体" w:hAnsi="宋体" w:hint="eastAsia"/>
          <w:sz w:val="24"/>
        </w:rPr>
        <w:t>六</w:t>
      </w:r>
      <w:r>
        <w:rPr>
          <w:rFonts w:ascii="宋体" w:eastAsia="宋体" w:hAnsi="宋体"/>
          <w:sz w:val="24"/>
        </w:rPr>
        <w:t>次会议</w:t>
      </w:r>
      <w:r>
        <w:rPr>
          <w:rFonts w:ascii="宋体" w:eastAsia="宋体" w:hAnsi="宋体" w:hint="eastAsia"/>
          <w:sz w:val="24"/>
        </w:rPr>
        <w:t>，</w:t>
      </w:r>
      <w:r>
        <w:rPr>
          <w:rFonts w:ascii="宋体" w:eastAsia="宋体" w:hAnsi="宋体"/>
          <w:sz w:val="24"/>
        </w:rPr>
        <w:t>审议通过了《</w:t>
      </w:r>
      <w:r>
        <w:rPr>
          <w:rFonts w:ascii="宋体" w:eastAsia="宋体" w:hAnsi="宋体" w:hint="eastAsia"/>
          <w:sz w:val="24"/>
        </w:rPr>
        <w:t>关于202</w:t>
      </w:r>
      <w:r w:rsidR="004A0AD8">
        <w:rPr>
          <w:rFonts w:ascii="宋体" w:eastAsia="宋体" w:hAnsi="宋体" w:hint="eastAsia"/>
          <w:sz w:val="24"/>
        </w:rPr>
        <w:t>6</w:t>
      </w:r>
      <w:r>
        <w:rPr>
          <w:rFonts w:ascii="宋体" w:eastAsia="宋体" w:hAnsi="宋体" w:hint="eastAsia"/>
          <w:sz w:val="24"/>
        </w:rPr>
        <w:t>年度向金融机构申请综合授信额度的议案</w:t>
      </w:r>
      <w:r>
        <w:rPr>
          <w:rFonts w:ascii="宋体" w:eastAsia="宋体" w:hAnsi="宋体"/>
          <w:sz w:val="24"/>
        </w:rPr>
        <w:t>》，本议案尚需提交公司</w:t>
      </w:r>
      <w:r>
        <w:rPr>
          <w:rFonts w:ascii="宋体" w:eastAsia="宋体" w:hAnsi="宋体" w:hint="eastAsia"/>
          <w:sz w:val="24"/>
        </w:rPr>
        <w:t>202</w:t>
      </w:r>
      <w:r w:rsidR="004A0AD8">
        <w:rPr>
          <w:rFonts w:ascii="宋体" w:eastAsia="宋体" w:hAnsi="宋体" w:hint="eastAsia"/>
          <w:sz w:val="24"/>
        </w:rPr>
        <w:t>5</w:t>
      </w:r>
      <w:r w:rsidR="007D5D99">
        <w:rPr>
          <w:rFonts w:ascii="宋体" w:eastAsia="宋体" w:hAnsi="宋体"/>
          <w:sz w:val="24"/>
        </w:rPr>
        <w:t>年</w:t>
      </w:r>
      <w:r w:rsidR="00A57345">
        <w:rPr>
          <w:rFonts w:ascii="宋体" w:eastAsia="宋体" w:hAnsi="宋体" w:hint="eastAsia"/>
          <w:sz w:val="24"/>
        </w:rPr>
        <w:t>年</w:t>
      </w:r>
      <w:r w:rsidR="007D5D99">
        <w:rPr>
          <w:rFonts w:ascii="宋体" w:eastAsia="宋体" w:hAnsi="宋体"/>
          <w:sz w:val="24"/>
        </w:rPr>
        <w:t>度股东</w:t>
      </w:r>
      <w:r>
        <w:rPr>
          <w:rFonts w:ascii="宋体" w:eastAsia="宋体" w:hAnsi="宋体"/>
          <w:sz w:val="24"/>
        </w:rPr>
        <w:t>会审议</w:t>
      </w:r>
      <w:r>
        <w:rPr>
          <w:rFonts w:ascii="宋体" w:eastAsia="宋体" w:hAnsi="宋体" w:hint="eastAsia"/>
          <w:sz w:val="24"/>
        </w:rPr>
        <w:t>。</w:t>
      </w:r>
      <w:r>
        <w:rPr>
          <w:rFonts w:ascii="宋体" w:eastAsia="宋体" w:hAnsi="宋体"/>
          <w:sz w:val="24"/>
        </w:rPr>
        <w:t>具体</w:t>
      </w:r>
      <w:r>
        <w:rPr>
          <w:rFonts w:ascii="宋体" w:eastAsia="宋体" w:hAnsi="宋体" w:hint="eastAsia"/>
          <w:sz w:val="24"/>
        </w:rPr>
        <w:t>事项</w:t>
      </w:r>
      <w:r>
        <w:rPr>
          <w:rFonts w:ascii="宋体" w:eastAsia="宋体" w:hAnsi="宋体"/>
          <w:sz w:val="24"/>
        </w:rPr>
        <w:t>如下：</w:t>
      </w:r>
    </w:p>
    <w:p w14:paraId="28F994F3" w14:textId="77777777" w:rsidR="00EA35DA" w:rsidRDefault="003C20E8">
      <w:pPr>
        <w:spacing w:line="360" w:lineRule="auto"/>
        <w:ind w:firstLineChars="200" w:firstLine="482"/>
        <w:rPr>
          <w:rFonts w:ascii="宋体" w:eastAsia="宋体" w:hAnsi="宋体" w:hint="eastAsia"/>
          <w:b/>
          <w:sz w:val="24"/>
        </w:rPr>
      </w:pPr>
      <w:r>
        <w:rPr>
          <w:rFonts w:ascii="宋体" w:eastAsia="宋体" w:hAnsi="宋体"/>
          <w:b/>
          <w:sz w:val="24"/>
        </w:rPr>
        <w:t>一、</w:t>
      </w:r>
      <w:r>
        <w:rPr>
          <w:rFonts w:ascii="宋体" w:eastAsia="宋体" w:hAnsi="宋体" w:hint="eastAsia"/>
          <w:b/>
          <w:sz w:val="24"/>
        </w:rPr>
        <w:t>申请</w:t>
      </w:r>
      <w:r>
        <w:rPr>
          <w:rFonts w:ascii="宋体" w:eastAsia="宋体" w:hAnsi="宋体"/>
          <w:b/>
          <w:sz w:val="24"/>
        </w:rPr>
        <w:t>综合授信额度的基本情况</w:t>
      </w:r>
    </w:p>
    <w:p w14:paraId="09D3FB02" w14:textId="143E9D45" w:rsidR="00EA35DA" w:rsidRDefault="003C20E8" w:rsidP="00014612">
      <w:pPr>
        <w:spacing w:line="360" w:lineRule="auto"/>
        <w:ind w:firstLineChars="200" w:firstLine="480"/>
        <w:rPr>
          <w:rFonts w:ascii="宋体" w:hAnsi="宋体" w:hint="eastAsia"/>
          <w:sz w:val="24"/>
        </w:rPr>
      </w:pPr>
      <w:r>
        <w:rPr>
          <w:rFonts w:ascii="宋体" w:hAnsi="宋体" w:hint="eastAsia"/>
          <w:sz w:val="24"/>
        </w:rPr>
        <w:t>公司及控股子公司为保证日常经营所需资金和业务发展需要，积极拓宽资金渠道、补充流动资金，增强可持续发展能力，拟于202</w:t>
      </w:r>
      <w:r w:rsidR="004A0AD8">
        <w:rPr>
          <w:rFonts w:ascii="宋体" w:hAnsi="宋体" w:hint="eastAsia"/>
          <w:sz w:val="24"/>
        </w:rPr>
        <w:t>6</w:t>
      </w:r>
      <w:r>
        <w:rPr>
          <w:rFonts w:ascii="宋体" w:hAnsi="宋体" w:hint="eastAsia"/>
          <w:sz w:val="24"/>
        </w:rPr>
        <w:t>年度向</w:t>
      </w:r>
      <w:r w:rsidR="00EB3875">
        <w:rPr>
          <w:rFonts w:ascii="宋体" w:hAnsi="宋体" w:hint="eastAsia"/>
          <w:sz w:val="24"/>
        </w:rPr>
        <w:t>中国建设银行股份有限公司、上海浦东发展银行股份有限公司、中国农业银行股份有限公司、招商银行股份有限公司、杭州银行股份有限公司、中国银行股份有限公司、中国工商银行股份有限公司、浙商银行股份有限公司、宁波银行股份有限公司、交通银行股份有限公司、华夏银行股份有限公司</w:t>
      </w:r>
      <w:r w:rsidR="00651EDE">
        <w:rPr>
          <w:rFonts w:ascii="宋体" w:hAnsi="宋体" w:hint="eastAsia"/>
          <w:sz w:val="24"/>
        </w:rPr>
        <w:t>、</w:t>
      </w:r>
      <w:r w:rsidR="00651EDE" w:rsidRPr="00651EDE">
        <w:rPr>
          <w:rFonts w:ascii="宋体" w:hAnsi="宋体" w:hint="eastAsia"/>
          <w:sz w:val="24"/>
        </w:rPr>
        <w:t>中信银行股份有限公司</w:t>
      </w:r>
      <w:r w:rsidR="00EB3875">
        <w:rPr>
          <w:rFonts w:ascii="宋体" w:hAnsi="宋体" w:hint="eastAsia"/>
          <w:sz w:val="24"/>
        </w:rPr>
        <w:t>等</w:t>
      </w:r>
      <w:r>
        <w:rPr>
          <w:rFonts w:ascii="宋体" w:hAnsi="宋体" w:hint="eastAsia"/>
          <w:sz w:val="24"/>
        </w:rPr>
        <w:t>金融机构及类金融企业申请总额度不超过人民币120,000</w:t>
      </w:r>
      <w:r w:rsidR="007D5D99">
        <w:rPr>
          <w:rFonts w:ascii="宋体" w:hAnsi="宋体" w:hint="eastAsia"/>
          <w:sz w:val="24"/>
        </w:rPr>
        <w:t>万元的综合授信额度，</w:t>
      </w:r>
      <w:r w:rsidR="00014612" w:rsidRPr="00014612">
        <w:rPr>
          <w:rFonts w:ascii="宋体" w:hAnsi="宋体" w:hint="eastAsia"/>
          <w:sz w:val="24"/>
        </w:rPr>
        <w:t>有效期自公司2025年</w:t>
      </w:r>
      <w:r w:rsidR="00A57345">
        <w:rPr>
          <w:rFonts w:ascii="宋体" w:hAnsi="宋体" w:hint="eastAsia"/>
          <w:sz w:val="24"/>
        </w:rPr>
        <w:t>年</w:t>
      </w:r>
      <w:r w:rsidR="00014612" w:rsidRPr="00014612">
        <w:rPr>
          <w:rFonts w:ascii="宋体" w:hAnsi="宋体" w:hint="eastAsia"/>
          <w:sz w:val="24"/>
        </w:rPr>
        <w:t>度股东会审议通过之日起</w:t>
      </w:r>
      <w:r w:rsidR="00741587">
        <w:rPr>
          <w:rFonts w:ascii="宋体" w:hAnsi="宋体" w:hint="eastAsia"/>
          <w:sz w:val="24"/>
        </w:rPr>
        <w:t>12个月</w:t>
      </w:r>
      <w:r w:rsidR="00014612" w:rsidRPr="00014612">
        <w:rPr>
          <w:rFonts w:ascii="宋体" w:hAnsi="宋体" w:hint="eastAsia"/>
          <w:sz w:val="24"/>
        </w:rPr>
        <w:t>，额度在有效期内可以滚动使用。</w:t>
      </w:r>
      <w:r>
        <w:rPr>
          <w:rFonts w:ascii="宋体" w:hAnsi="宋体"/>
          <w:sz w:val="24"/>
        </w:rPr>
        <w:t>上述授信用途包括但不限于流动资金贷款、固定资产贷款、项目贷款、承兑汇票、保函、信用证、票据贴现、金融衍生品等综合业务，</w:t>
      </w:r>
      <w:r>
        <w:rPr>
          <w:rFonts w:ascii="宋体" w:hAnsi="宋体" w:hint="eastAsia"/>
          <w:sz w:val="24"/>
        </w:rPr>
        <w:t>公司及控股子公司202</w:t>
      </w:r>
      <w:r w:rsidR="004A0AD8">
        <w:rPr>
          <w:rFonts w:ascii="宋体" w:hAnsi="宋体" w:hint="eastAsia"/>
          <w:sz w:val="24"/>
        </w:rPr>
        <w:t>6</w:t>
      </w:r>
      <w:r>
        <w:rPr>
          <w:rFonts w:ascii="宋体" w:hAnsi="宋体" w:hint="eastAsia"/>
          <w:sz w:val="24"/>
        </w:rPr>
        <w:t>年度向金融机构申请的授信额度最终以各家金融机构实际审批为准。具体融资金额视公司及控股子公司实际需求确定，以金融机构与公司实际发生的融资金额为准。</w:t>
      </w:r>
    </w:p>
    <w:p w14:paraId="24512F34" w14:textId="77777777" w:rsidR="00EA35DA" w:rsidRDefault="007D5D99">
      <w:pPr>
        <w:spacing w:line="360" w:lineRule="auto"/>
        <w:ind w:firstLineChars="200" w:firstLine="480"/>
        <w:rPr>
          <w:rFonts w:ascii="宋体" w:hAnsi="宋体" w:hint="eastAsia"/>
          <w:sz w:val="24"/>
        </w:rPr>
      </w:pPr>
      <w:r>
        <w:rPr>
          <w:rFonts w:ascii="宋体" w:hAnsi="宋体" w:hint="eastAsia"/>
          <w:sz w:val="24"/>
        </w:rPr>
        <w:t>在经股东</w:t>
      </w:r>
      <w:r w:rsidR="003C20E8">
        <w:rPr>
          <w:rFonts w:ascii="宋体" w:hAnsi="宋体" w:hint="eastAsia"/>
          <w:sz w:val="24"/>
        </w:rPr>
        <w:t>会审批通过的年度授信额度范围内，公司提议授权董事长或董事长指定的授权代表全权代表公司签署上述授信额度内的一切授信（包括但不限于授信、借款、融资等）有关的合同、协议、凭证等各项法律文件；其他控股子公司对应文件由其《公司章程》规定的授权代表签署。</w:t>
      </w:r>
    </w:p>
    <w:p w14:paraId="598CAF90" w14:textId="77777777" w:rsidR="00EA35DA" w:rsidRDefault="003C20E8">
      <w:pPr>
        <w:spacing w:line="360" w:lineRule="auto"/>
        <w:ind w:firstLineChars="200" w:firstLine="482"/>
        <w:rPr>
          <w:rFonts w:ascii="宋体" w:eastAsia="宋体" w:hAnsi="宋体" w:hint="eastAsia"/>
          <w:b/>
          <w:sz w:val="24"/>
        </w:rPr>
      </w:pPr>
      <w:r>
        <w:rPr>
          <w:rFonts w:ascii="宋体" w:eastAsia="宋体" w:hAnsi="宋体" w:hint="eastAsia"/>
          <w:b/>
          <w:sz w:val="24"/>
        </w:rPr>
        <w:lastRenderedPageBreak/>
        <w:t>二</w:t>
      </w:r>
      <w:r>
        <w:rPr>
          <w:rFonts w:ascii="宋体" w:eastAsia="宋体" w:hAnsi="宋体"/>
          <w:b/>
          <w:sz w:val="24"/>
        </w:rPr>
        <w:t xml:space="preserve">、备查文件 </w:t>
      </w:r>
    </w:p>
    <w:p w14:paraId="053800B5" w14:textId="77777777" w:rsidR="00EA35DA" w:rsidRDefault="003C20E8">
      <w:pPr>
        <w:spacing w:line="360" w:lineRule="auto"/>
        <w:ind w:firstLineChars="200" w:firstLine="480"/>
        <w:rPr>
          <w:rFonts w:ascii="宋体" w:eastAsia="宋体" w:hAnsi="宋体" w:hint="eastAsia"/>
          <w:sz w:val="24"/>
        </w:rPr>
      </w:pPr>
      <w:r>
        <w:rPr>
          <w:rFonts w:ascii="宋体" w:eastAsia="宋体" w:hAnsi="宋体" w:hint="eastAsia"/>
          <w:sz w:val="24"/>
        </w:rPr>
        <w:t>1、公司</w:t>
      </w:r>
      <w:r>
        <w:rPr>
          <w:rFonts w:ascii="宋体" w:eastAsia="宋体" w:hAnsi="宋体"/>
          <w:sz w:val="24"/>
        </w:rPr>
        <w:t>第</w:t>
      </w:r>
      <w:r>
        <w:rPr>
          <w:rFonts w:ascii="宋体" w:eastAsia="宋体" w:hAnsi="宋体" w:hint="eastAsia"/>
          <w:sz w:val="24"/>
        </w:rPr>
        <w:t>六</w:t>
      </w:r>
      <w:r>
        <w:rPr>
          <w:rFonts w:ascii="宋体" w:eastAsia="宋体" w:hAnsi="宋体"/>
          <w:sz w:val="24"/>
        </w:rPr>
        <w:t>届董事会第</w:t>
      </w:r>
      <w:r w:rsidR="004A0AD8">
        <w:rPr>
          <w:rFonts w:ascii="宋体" w:eastAsia="宋体" w:hAnsi="宋体" w:hint="eastAsia"/>
          <w:sz w:val="24"/>
        </w:rPr>
        <w:t>六</w:t>
      </w:r>
      <w:r>
        <w:rPr>
          <w:rFonts w:ascii="宋体" w:eastAsia="宋体" w:hAnsi="宋体"/>
          <w:sz w:val="24"/>
        </w:rPr>
        <w:t>次会议决议</w:t>
      </w:r>
      <w:r w:rsidR="00C0370C">
        <w:rPr>
          <w:rFonts w:ascii="宋体" w:eastAsia="宋体" w:hAnsi="宋体"/>
          <w:sz w:val="24"/>
        </w:rPr>
        <w:t>。</w:t>
      </w:r>
    </w:p>
    <w:p w14:paraId="507FC79D" w14:textId="77777777" w:rsidR="00EA35DA" w:rsidRDefault="007D5D99">
      <w:pPr>
        <w:spacing w:before="240" w:line="360" w:lineRule="auto"/>
        <w:ind w:firstLineChars="200" w:firstLine="480"/>
        <w:rPr>
          <w:rFonts w:ascii="宋体" w:eastAsia="宋体" w:hAnsi="宋体" w:hint="eastAsia"/>
          <w:sz w:val="24"/>
        </w:rPr>
      </w:pPr>
      <w:r>
        <w:rPr>
          <w:rFonts w:ascii="宋体" w:hAnsi="宋体" w:hint="eastAsia"/>
          <w:sz w:val="24"/>
          <w:szCs w:val="24"/>
        </w:rPr>
        <w:t>本事项尚需提交公司股东</w:t>
      </w:r>
      <w:r w:rsidR="003C20E8">
        <w:rPr>
          <w:rFonts w:ascii="宋体" w:hAnsi="宋体" w:hint="eastAsia"/>
          <w:sz w:val="24"/>
          <w:szCs w:val="24"/>
        </w:rPr>
        <w:t>会审议。</w:t>
      </w:r>
    </w:p>
    <w:p w14:paraId="5119C426" w14:textId="77777777" w:rsidR="00EA35DA" w:rsidRDefault="003C20E8">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特</w:t>
      </w:r>
      <w:r>
        <w:rPr>
          <w:rFonts w:ascii="宋体" w:eastAsia="宋体" w:hAnsi="宋体"/>
          <w:sz w:val="24"/>
          <w:szCs w:val="24"/>
        </w:rPr>
        <w:t>此公告</w:t>
      </w:r>
      <w:r>
        <w:rPr>
          <w:rFonts w:ascii="宋体" w:eastAsia="宋体" w:hAnsi="宋体" w:hint="eastAsia"/>
          <w:sz w:val="24"/>
          <w:szCs w:val="24"/>
        </w:rPr>
        <w:t>。</w:t>
      </w:r>
    </w:p>
    <w:p w14:paraId="6486D825" w14:textId="77777777" w:rsidR="00EA35DA" w:rsidRDefault="00EA35DA">
      <w:pPr>
        <w:spacing w:line="360" w:lineRule="auto"/>
        <w:rPr>
          <w:rFonts w:ascii="宋体" w:eastAsia="宋体" w:hAnsi="宋体" w:hint="eastAsia"/>
          <w:sz w:val="24"/>
          <w:szCs w:val="24"/>
        </w:rPr>
      </w:pPr>
    </w:p>
    <w:p w14:paraId="241EE453" w14:textId="77777777" w:rsidR="00EA35DA" w:rsidRDefault="003C20E8">
      <w:pPr>
        <w:spacing w:line="360" w:lineRule="auto"/>
        <w:ind w:firstLineChars="200" w:firstLine="480"/>
        <w:jc w:val="right"/>
        <w:rPr>
          <w:rFonts w:ascii="宋体" w:eastAsia="宋体" w:hAnsi="宋体" w:hint="eastAsia"/>
          <w:sz w:val="24"/>
        </w:rPr>
      </w:pPr>
      <w:r>
        <w:rPr>
          <w:rFonts w:ascii="宋体" w:eastAsia="宋体" w:hAnsi="宋体" w:hint="eastAsia"/>
          <w:sz w:val="24"/>
        </w:rPr>
        <w:t>浙江威星智能仪表</w:t>
      </w:r>
      <w:r>
        <w:rPr>
          <w:rFonts w:ascii="宋体" w:eastAsia="宋体" w:hAnsi="宋体"/>
          <w:sz w:val="24"/>
        </w:rPr>
        <w:t>股份有限公司</w:t>
      </w:r>
    </w:p>
    <w:p w14:paraId="502A18AC" w14:textId="77777777" w:rsidR="00EA35DA" w:rsidRDefault="003C20E8">
      <w:pPr>
        <w:spacing w:line="360" w:lineRule="auto"/>
        <w:ind w:firstLineChars="200" w:firstLine="480"/>
        <w:jc w:val="right"/>
        <w:rPr>
          <w:rFonts w:ascii="宋体" w:eastAsia="宋体" w:hAnsi="宋体" w:hint="eastAsia"/>
          <w:sz w:val="24"/>
        </w:rPr>
      </w:pPr>
      <w:r>
        <w:rPr>
          <w:rFonts w:ascii="宋体" w:eastAsia="宋体" w:hAnsi="宋体" w:hint="eastAsia"/>
          <w:sz w:val="24"/>
        </w:rPr>
        <w:t xml:space="preserve">董事会                                     </w:t>
      </w:r>
    </w:p>
    <w:p w14:paraId="7A015420" w14:textId="77777777" w:rsidR="00EA35DA" w:rsidRDefault="003C20E8">
      <w:pPr>
        <w:spacing w:line="360" w:lineRule="auto"/>
        <w:ind w:firstLineChars="200" w:firstLine="480"/>
        <w:jc w:val="right"/>
        <w:rPr>
          <w:rFonts w:ascii="宋体" w:eastAsia="宋体" w:hAnsi="宋体" w:hint="eastAsia"/>
          <w:sz w:val="24"/>
        </w:rPr>
      </w:pPr>
      <w:r>
        <w:rPr>
          <w:rFonts w:ascii="宋体" w:eastAsia="宋体" w:hAnsi="宋体"/>
          <w:sz w:val="24"/>
        </w:rPr>
        <w:t>202</w:t>
      </w:r>
      <w:r w:rsidR="004A0AD8">
        <w:rPr>
          <w:rFonts w:ascii="宋体" w:eastAsia="宋体" w:hAnsi="宋体" w:hint="eastAsia"/>
          <w:sz w:val="24"/>
        </w:rPr>
        <w:t>6</w:t>
      </w:r>
      <w:r>
        <w:rPr>
          <w:rFonts w:ascii="宋体" w:eastAsia="宋体" w:hAnsi="宋体"/>
          <w:sz w:val="24"/>
        </w:rPr>
        <w:t>年4月</w:t>
      </w:r>
      <w:r w:rsidR="004A0AD8">
        <w:rPr>
          <w:rFonts w:ascii="宋体" w:eastAsia="宋体" w:hAnsi="宋体"/>
          <w:sz w:val="24"/>
        </w:rPr>
        <w:t>28</w:t>
      </w:r>
      <w:r>
        <w:rPr>
          <w:rFonts w:ascii="宋体" w:eastAsia="宋体" w:hAnsi="宋体"/>
          <w:sz w:val="24"/>
        </w:rPr>
        <w:t>日</w:t>
      </w:r>
    </w:p>
    <w:sectPr w:rsidR="00EA35DA">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AF248" w14:textId="77777777" w:rsidR="0010720C" w:rsidRDefault="0010720C" w:rsidP="00EB3875">
      <w:r>
        <w:separator/>
      </w:r>
    </w:p>
  </w:endnote>
  <w:endnote w:type="continuationSeparator" w:id="0">
    <w:p w14:paraId="1FFBF188" w14:textId="77777777" w:rsidR="0010720C" w:rsidRDefault="0010720C" w:rsidP="00EB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34F2A" w14:textId="77777777" w:rsidR="0010720C" w:rsidRDefault="0010720C" w:rsidP="00EB3875">
      <w:r>
        <w:separator/>
      </w:r>
    </w:p>
  </w:footnote>
  <w:footnote w:type="continuationSeparator" w:id="0">
    <w:p w14:paraId="764C60B1" w14:textId="77777777" w:rsidR="0010720C" w:rsidRDefault="0010720C" w:rsidP="00EB3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D93"/>
    <w:rsid w:val="00000824"/>
    <w:rsid w:val="00014612"/>
    <w:rsid w:val="000232DC"/>
    <w:rsid w:val="00043AA5"/>
    <w:rsid w:val="00044A4D"/>
    <w:rsid w:val="000529FF"/>
    <w:rsid w:val="00066C29"/>
    <w:rsid w:val="00084C22"/>
    <w:rsid w:val="000A1969"/>
    <w:rsid w:val="000C0F7C"/>
    <w:rsid w:val="000E3183"/>
    <w:rsid w:val="000E742D"/>
    <w:rsid w:val="000F125A"/>
    <w:rsid w:val="00100EEB"/>
    <w:rsid w:val="00104F51"/>
    <w:rsid w:val="0010720C"/>
    <w:rsid w:val="00113D9C"/>
    <w:rsid w:val="00115643"/>
    <w:rsid w:val="00123622"/>
    <w:rsid w:val="00124604"/>
    <w:rsid w:val="0012651F"/>
    <w:rsid w:val="00135E96"/>
    <w:rsid w:val="00152210"/>
    <w:rsid w:val="001672AC"/>
    <w:rsid w:val="001734ED"/>
    <w:rsid w:val="00175B5B"/>
    <w:rsid w:val="001919C5"/>
    <w:rsid w:val="001B6712"/>
    <w:rsid w:val="001C38CE"/>
    <w:rsid w:val="001C5D2C"/>
    <w:rsid w:val="001F0EF2"/>
    <w:rsid w:val="001F3123"/>
    <w:rsid w:val="00217AFA"/>
    <w:rsid w:val="00247121"/>
    <w:rsid w:val="002613CD"/>
    <w:rsid w:val="0026600B"/>
    <w:rsid w:val="00282E69"/>
    <w:rsid w:val="00297B46"/>
    <w:rsid w:val="002C1A3B"/>
    <w:rsid w:val="002D519E"/>
    <w:rsid w:val="002E1FC1"/>
    <w:rsid w:val="002E40A3"/>
    <w:rsid w:val="002E7683"/>
    <w:rsid w:val="00312116"/>
    <w:rsid w:val="0035158D"/>
    <w:rsid w:val="00361CE4"/>
    <w:rsid w:val="00373E81"/>
    <w:rsid w:val="00382954"/>
    <w:rsid w:val="003A5A79"/>
    <w:rsid w:val="003A6641"/>
    <w:rsid w:val="003C20E8"/>
    <w:rsid w:val="003E5F5E"/>
    <w:rsid w:val="00404AC0"/>
    <w:rsid w:val="004077BC"/>
    <w:rsid w:val="00407CAF"/>
    <w:rsid w:val="00421C9C"/>
    <w:rsid w:val="00426F06"/>
    <w:rsid w:val="0043639A"/>
    <w:rsid w:val="00441717"/>
    <w:rsid w:val="00470989"/>
    <w:rsid w:val="00481E9D"/>
    <w:rsid w:val="00484015"/>
    <w:rsid w:val="004978F1"/>
    <w:rsid w:val="004A0AD8"/>
    <w:rsid w:val="004C113E"/>
    <w:rsid w:val="004D17B6"/>
    <w:rsid w:val="004E2B3B"/>
    <w:rsid w:val="004E386A"/>
    <w:rsid w:val="004E626F"/>
    <w:rsid w:val="004F1D93"/>
    <w:rsid w:val="00500233"/>
    <w:rsid w:val="00515C9A"/>
    <w:rsid w:val="005252EF"/>
    <w:rsid w:val="005271D8"/>
    <w:rsid w:val="00545C1E"/>
    <w:rsid w:val="005518EE"/>
    <w:rsid w:val="0056134B"/>
    <w:rsid w:val="00565601"/>
    <w:rsid w:val="00570D2F"/>
    <w:rsid w:val="005718A1"/>
    <w:rsid w:val="0059197D"/>
    <w:rsid w:val="005C6228"/>
    <w:rsid w:val="005D0B6A"/>
    <w:rsid w:val="005E4B06"/>
    <w:rsid w:val="005E4C4D"/>
    <w:rsid w:val="005E4EFA"/>
    <w:rsid w:val="005E62EF"/>
    <w:rsid w:val="005E79AD"/>
    <w:rsid w:val="005F36F0"/>
    <w:rsid w:val="00644B67"/>
    <w:rsid w:val="00650374"/>
    <w:rsid w:val="00651EDE"/>
    <w:rsid w:val="006C5319"/>
    <w:rsid w:val="006D0561"/>
    <w:rsid w:val="006F6029"/>
    <w:rsid w:val="00707FF0"/>
    <w:rsid w:val="00737059"/>
    <w:rsid w:val="00741587"/>
    <w:rsid w:val="0075395D"/>
    <w:rsid w:val="007565E6"/>
    <w:rsid w:val="00767C2B"/>
    <w:rsid w:val="00770C0B"/>
    <w:rsid w:val="0077311A"/>
    <w:rsid w:val="00786CF9"/>
    <w:rsid w:val="00792673"/>
    <w:rsid w:val="00792735"/>
    <w:rsid w:val="007D5D99"/>
    <w:rsid w:val="007D7413"/>
    <w:rsid w:val="007F222F"/>
    <w:rsid w:val="0082682C"/>
    <w:rsid w:val="0083707B"/>
    <w:rsid w:val="0085275D"/>
    <w:rsid w:val="00861DA4"/>
    <w:rsid w:val="00880707"/>
    <w:rsid w:val="008834B7"/>
    <w:rsid w:val="00892198"/>
    <w:rsid w:val="00896007"/>
    <w:rsid w:val="00897760"/>
    <w:rsid w:val="008A557D"/>
    <w:rsid w:val="008A78F2"/>
    <w:rsid w:val="008D1094"/>
    <w:rsid w:val="008E62FA"/>
    <w:rsid w:val="008E7F7F"/>
    <w:rsid w:val="008F04D8"/>
    <w:rsid w:val="008F3C47"/>
    <w:rsid w:val="009222DC"/>
    <w:rsid w:val="00972E4B"/>
    <w:rsid w:val="009759CB"/>
    <w:rsid w:val="0099706E"/>
    <w:rsid w:val="009A3770"/>
    <w:rsid w:val="009A53E2"/>
    <w:rsid w:val="009A69DD"/>
    <w:rsid w:val="009B37BE"/>
    <w:rsid w:val="009D2CCF"/>
    <w:rsid w:val="009D582A"/>
    <w:rsid w:val="009F3313"/>
    <w:rsid w:val="009F3E18"/>
    <w:rsid w:val="009F48A3"/>
    <w:rsid w:val="00A0499A"/>
    <w:rsid w:val="00A17EE1"/>
    <w:rsid w:val="00A229E5"/>
    <w:rsid w:val="00A360A9"/>
    <w:rsid w:val="00A53E27"/>
    <w:rsid w:val="00A57345"/>
    <w:rsid w:val="00A6214C"/>
    <w:rsid w:val="00A65866"/>
    <w:rsid w:val="00A679F8"/>
    <w:rsid w:val="00A71588"/>
    <w:rsid w:val="00A80136"/>
    <w:rsid w:val="00A85C44"/>
    <w:rsid w:val="00A92650"/>
    <w:rsid w:val="00A9521F"/>
    <w:rsid w:val="00AA3156"/>
    <w:rsid w:val="00AB18AB"/>
    <w:rsid w:val="00AB7CE4"/>
    <w:rsid w:val="00AC3C12"/>
    <w:rsid w:val="00AE2265"/>
    <w:rsid w:val="00AE3231"/>
    <w:rsid w:val="00B10761"/>
    <w:rsid w:val="00B116D1"/>
    <w:rsid w:val="00B33EB5"/>
    <w:rsid w:val="00B36ABC"/>
    <w:rsid w:val="00B97BCD"/>
    <w:rsid w:val="00BB424D"/>
    <w:rsid w:val="00BC47F0"/>
    <w:rsid w:val="00BD3DC1"/>
    <w:rsid w:val="00BF7000"/>
    <w:rsid w:val="00C0010F"/>
    <w:rsid w:val="00C0370C"/>
    <w:rsid w:val="00C31666"/>
    <w:rsid w:val="00C351BA"/>
    <w:rsid w:val="00C53804"/>
    <w:rsid w:val="00C611CC"/>
    <w:rsid w:val="00C76B18"/>
    <w:rsid w:val="00C83C0E"/>
    <w:rsid w:val="00C95E3B"/>
    <w:rsid w:val="00CB0739"/>
    <w:rsid w:val="00CB3820"/>
    <w:rsid w:val="00CD117B"/>
    <w:rsid w:val="00CE1A07"/>
    <w:rsid w:val="00CE7FF6"/>
    <w:rsid w:val="00D02C19"/>
    <w:rsid w:val="00D06B0E"/>
    <w:rsid w:val="00D2327A"/>
    <w:rsid w:val="00D24011"/>
    <w:rsid w:val="00D447AC"/>
    <w:rsid w:val="00D50A84"/>
    <w:rsid w:val="00D53E4D"/>
    <w:rsid w:val="00D6393F"/>
    <w:rsid w:val="00D6433F"/>
    <w:rsid w:val="00D65B4A"/>
    <w:rsid w:val="00D84A13"/>
    <w:rsid w:val="00D84E38"/>
    <w:rsid w:val="00D97F61"/>
    <w:rsid w:val="00DD21C3"/>
    <w:rsid w:val="00DD37C0"/>
    <w:rsid w:val="00DD71AD"/>
    <w:rsid w:val="00E33C63"/>
    <w:rsid w:val="00E46852"/>
    <w:rsid w:val="00E57170"/>
    <w:rsid w:val="00E61C1E"/>
    <w:rsid w:val="00E8168A"/>
    <w:rsid w:val="00E920EF"/>
    <w:rsid w:val="00E9400B"/>
    <w:rsid w:val="00EA35DA"/>
    <w:rsid w:val="00EA5A65"/>
    <w:rsid w:val="00EB3875"/>
    <w:rsid w:val="00EE3966"/>
    <w:rsid w:val="00EE51D4"/>
    <w:rsid w:val="00EF6497"/>
    <w:rsid w:val="00F005AD"/>
    <w:rsid w:val="00F30AD7"/>
    <w:rsid w:val="00F34D20"/>
    <w:rsid w:val="00F40A37"/>
    <w:rsid w:val="00F52A14"/>
    <w:rsid w:val="00F61BFA"/>
    <w:rsid w:val="00FB1B41"/>
    <w:rsid w:val="00FC65A3"/>
    <w:rsid w:val="00FF40AA"/>
    <w:rsid w:val="00FF7722"/>
    <w:rsid w:val="16E10E2A"/>
    <w:rsid w:val="52076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70415"/>
  <w15:docId w15:val="{ECB219F5-BA47-45C1-83E3-45EB468F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semiHidden/>
    <w:unhideWhenUsed/>
    <w:rPr>
      <w:color w:val="864654"/>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rPr>
      <w:sz w:val="18"/>
      <w:szCs w:val="18"/>
    </w:rPr>
  </w:style>
  <w:style w:type="paragraph" w:customStyle="1" w:styleId="ac">
    <w:name w:val="一级"/>
    <w:basedOn w:val="a"/>
    <w:pPr>
      <w:widowControl/>
      <w:adjustRightInd w:val="0"/>
      <w:snapToGrid w:val="0"/>
      <w:spacing w:beforeLines="100" w:afterLines="100" w:after="200" w:line="360" w:lineRule="auto"/>
      <w:ind w:leftChars="50" w:left="50" w:rightChars="50" w:right="50" w:firstLineChars="200" w:firstLine="200"/>
    </w:pPr>
    <w:rPr>
      <w:rFonts w:ascii="宋体" w:eastAsia="宋体" w:hAnsi="宋体" w:cs="Times New Roman"/>
      <w:b/>
      <w:kern w:val="0"/>
      <w:sz w:val="24"/>
    </w:rPr>
  </w:style>
  <w:style w:type="character" w:customStyle="1" w:styleId="HTML0">
    <w:name w:val="HTML 预设格式 字符"/>
    <w:basedOn w:val="a0"/>
    <w:link w:val="HTML"/>
    <w:uiPriority w:val="99"/>
    <w:semiHidden/>
    <w:rPr>
      <w:rFonts w:ascii="宋体" w:eastAsia="宋体" w:hAnsi="宋体" w:cs="宋体"/>
      <w:kern w:val="0"/>
      <w:sz w:val="24"/>
      <w:szCs w:val="24"/>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paragraph" w:customStyle="1" w:styleId="CharCharCharChar">
    <w:name w:val="Char Char Char Char"/>
    <w:basedOn w:val="a"/>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737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E259A9B-F579-476C-ACF3-0FE07ADA1CD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461</Words>
  <Characters>485</Characters>
  <Application>Microsoft Office Word</Application>
  <DocSecurity>0</DocSecurity>
  <Lines>21</Lines>
  <Paragraphs>16</Paragraphs>
  <ScaleCrop>false</ScaleCrop>
  <Company>Microsoft</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颜 冰玮</dc:creator>
  <cp:lastModifiedBy>chen xiao hui</cp:lastModifiedBy>
  <cp:revision>30</cp:revision>
  <dcterms:created xsi:type="dcterms:W3CDTF">2024-04-08T04:15:00Z</dcterms:created>
  <dcterms:modified xsi:type="dcterms:W3CDTF">2026-04-20T06:04:00Z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