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D7DC3" w14:textId="77777777" w:rsidR="005F07DD" w:rsidRPr="00324D80" w:rsidRDefault="00367185">
      <w:pPr>
        <w:spacing w:before="200" w:after="1000" w:line="560" w:lineRule="exact"/>
        <w:jc w:val="center"/>
        <w:rPr>
          <w:rFonts w:ascii="宋体" w:eastAsia="宋体" w:hAnsi="宋体" w:cs="宋体" w:hint="eastAsia"/>
          <w:sz w:val="18"/>
          <w:szCs w:val="18"/>
        </w:rPr>
      </w:pPr>
      <w:r w:rsidRPr="00324D80">
        <w:rPr>
          <w:rFonts w:ascii="宋体" w:eastAsia="宋体" w:hAnsi="宋体" w:cs="宋体"/>
          <w:sz w:val="18"/>
          <w:szCs w:val="18"/>
        </w:rPr>
        <w:t>证券代码：002849                证券简称：</w:t>
      </w:r>
      <w:proofErr w:type="gramStart"/>
      <w:r w:rsidRPr="00324D80">
        <w:rPr>
          <w:rFonts w:ascii="宋体" w:eastAsia="宋体" w:hAnsi="宋体" w:cs="宋体"/>
          <w:sz w:val="18"/>
          <w:szCs w:val="18"/>
        </w:rPr>
        <w:t>威星智能</w:t>
      </w:r>
      <w:proofErr w:type="gramEnd"/>
      <w:r w:rsidRPr="00324D80">
        <w:rPr>
          <w:rFonts w:ascii="宋体" w:eastAsia="宋体" w:hAnsi="宋体" w:cs="宋体"/>
          <w:sz w:val="18"/>
          <w:szCs w:val="18"/>
        </w:rPr>
        <w:t xml:space="preserve">                公告编号：2026-025</w:t>
      </w:r>
    </w:p>
    <w:p w14:paraId="58CE6DAB" w14:textId="77777777" w:rsidR="005F07DD" w:rsidRPr="00324D80" w:rsidRDefault="00367185">
      <w:pPr>
        <w:spacing w:after="1000" w:line="400" w:lineRule="exact"/>
        <w:jc w:val="center"/>
        <w:rPr>
          <w:rFonts w:ascii="宋体" w:eastAsia="宋体" w:hAnsi="宋体" w:cs="宋体" w:hint="eastAsia"/>
          <w:b/>
          <w:bCs/>
          <w:sz w:val="36"/>
          <w:szCs w:val="36"/>
        </w:rPr>
      </w:pPr>
      <w:proofErr w:type="gramStart"/>
      <w:r w:rsidRPr="00324D80">
        <w:rPr>
          <w:rFonts w:ascii="宋体" w:eastAsia="宋体" w:hAnsi="宋体" w:cs="宋体"/>
          <w:b/>
          <w:bCs/>
          <w:sz w:val="36"/>
          <w:szCs w:val="36"/>
        </w:rPr>
        <w:t>浙江威星智能仪表</w:t>
      </w:r>
      <w:proofErr w:type="gramEnd"/>
      <w:r w:rsidRPr="00324D80">
        <w:rPr>
          <w:rFonts w:ascii="宋体" w:eastAsia="宋体" w:hAnsi="宋体" w:cs="宋体"/>
          <w:b/>
          <w:bCs/>
          <w:sz w:val="36"/>
          <w:szCs w:val="36"/>
        </w:rPr>
        <w:t>股份有限公司2025年年度报告摘要</w:t>
      </w:r>
    </w:p>
    <w:p w14:paraId="02520C12" w14:textId="77777777" w:rsidR="005F07DD" w:rsidRPr="00324D80" w:rsidRDefault="00367185">
      <w:pPr>
        <w:pStyle w:val="2"/>
        <w:spacing w:before="300" w:after="300" w:line="320" w:lineRule="exact"/>
        <w:rPr>
          <w:rFonts w:ascii="宋体" w:eastAsia="宋体" w:hAnsi="宋体" w:cs="宋体" w:hint="eastAsia"/>
          <w:b/>
          <w:bCs/>
          <w:sz w:val="24"/>
          <w:szCs w:val="24"/>
        </w:rPr>
      </w:pPr>
      <w:bookmarkStart w:id="0" w:name="_Toc988889"/>
      <w:r w:rsidRPr="00324D80">
        <w:rPr>
          <w:rFonts w:ascii="宋体" w:eastAsia="宋体" w:hAnsi="宋体" w:cs="宋体"/>
          <w:b/>
          <w:bCs/>
          <w:sz w:val="24"/>
          <w:szCs w:val="24"/>
        </w:rPr>
        <w:t>一、重要提示</w:t>
      </w:r>
      <w:bookmarkEnd w:id="0"/>
    </w:p>
    <w:p w14:paraId="20A5C4F0"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本年度报告摘要来自年度报告全文，为全面了解本公司的经营成果、财务状况及未来发展规划，投资者应当到证监会指定媒体仔细阅读年度报告全文。</w:t>
      </w:r>
    </w:p>
    <w:p w14:paraId="12810016"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所有董事均</w:t>
      </w:r>
      <w:proofErr w:type="gramStart"/>
      <w:r w:rsidRPr="00324D80">
        <w:rPr>
          <w:rFonts w:ascii="宋体" w:eastAsia="宋体" w:hAnsi="宋体" w:cs="宋体"/>
          <w:sz w:val="18"/>
          <w:szCs w:val="18"/>
        </w:rPr>
        <w:t>已出席</w:t>
      </w:r>
      <w:proofErr w:type="gramEnd"/>
      <w:r w:rsidRPr="00324D80">
        <w:rPr>
          <w:rFonts w:ascii="宋体" w:eastAsia="宋体" w:hAnsi="宋体" w:cs="宋体"/>
          <w:sz w:val="18"/>
          <w:szCs w:val="18"/>
        </w:rPr>
        <w:t>了审议本报告的董事会会议。</w:t>
      </w:r>
    </w:p>
    <w:p w14:paraId="79ED0EC0"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非标准审计意见提示</w:t>
      </w:r>
    </w:p>
    <w:p w14:paraId="165BD5E3"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 xml:space="preserve">□适用 </w:t>
      </w:r>
      <w:r w:rsidRPr="00324D80">
        <w:rPr>
          <w:rFonts w:ascii="宋体" w:eastAsia="宋体" w:hAnsi="宋体" w:cs="宋体"/>
          <w:sz w:val="18"/>
          <w:szCs w:val="18"/>
        </w:rPr>
        <w:sym w:font="Wingdings 2" w:char="F052"/>
      </w:r>
      <w:r w:rsidRPr="00324D80">
        <w:rPr>
          <w:rFonts w:ascii="宋体" w:eastAsia="宋体" w:hAnsi="宋体" w:cs="宋体"/>
          <w:sz w:val="18"/>
          <w:szCs w:val="18"/>
        </w:rPr>
        <w:t>不适用</w:t>
      </w:r>
    </w:p>
    <w:p w14:paraId="5C291BF0"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董事会审议的报告期利润分配预案或公积金转增股本预案</w:t>
      </w:r>
    </w:p>
    <w:p w14:paraId="3021A20D"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sym w:font="Wingdings 2" w:char="F052"/>
      </w:r>
      <w:r w:rsidRPr="00324D80">
        <w:rPr>
          <w:rFonts w:ascii="宋体" w:eastAsia="宋体" w:hAnsi="宋体" w:cs="宋体"/>
          <w:sz w:val="18"/>
          <w:szCs w:val="18"/>
        </w:rPr>
        <w:t>适用 □不适用</w:t>
      </w:r>
    </w:p>
    <w:p w14:paraId="15529ABA"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是否以公积金转增股本</w:t>
      </w:r>
    </w:p>
    <w:p w14:paraId="1D06886C"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 xml:space="preserve">□是 </w:t>
      </w:r>
      <w:r w:rsidRPr="00324D80">
        <w:rPr>
          <w:rFonts w:ascii="宋体" w:eastAsia="宋体" w:hAnsi="宋体" w:cs="宋体"/>
          <w:sz w:val="18"/>
          <w:szCs w:val="18"/>
        </w:rPr>
        <w:sym w:font="Wingdings 2" w:char="F052"/>
      </w:r>
      <w:r w:rsidRPr="00324D80">
        <w:rPr>
          <w:rFonts w:ascii="宋体" w:eastAsia="宋体" w:hAnsi="宋体" w:cs="宋体"/>
          <w:sz w:val="18"/>
          <w:szCs w:val="18"/>
        </w:rPr>
        <w:t>否</w:t>
      </w:r>
    </w:p>
    <w:p w14:paraId="1EAC4937"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公司经本次董事会审议通过的利润分配预案为：以220,634,016股为基数，向全体股东每10股派发现金红利0.4元（含税），送红股0股（含税），不以公积金转增股本。</w:t>
      </w:r>
    </w:p>
    <w:p w14:paraId="52817C60"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董事会决议通过的本报告期优先股利润分配预案</w:t>
      </w:r>
    </w:p>
    <w:p w14:paraId="4C8D4DF5" w14:textId="541B7C26"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 xml:space="preserve">□适用 </w:t>
      </w:r>
      <w:r w:rsidR="0056744C" w:rsidRPr="00324D80">
        <w:rPr>
          <w:rFonts w:ascii="宋体" w:eastAsia="宋体" w:hAnsi="宋体" w:cs="宋体"/>
          <w:sz w:val="18"/>
          <w:szCs w:val="18"/>
        </w:rPr>
        <w:sym w:font="Wingdings 2" w:char="F052"/>
      </w:r>
      <w:r w:rsidRPr="00324D80">
        <w:rPr>
          <w:rFonts w:ascii="宋体" w:eastAsia="宋体" w:hAnsi="宋体" w:cs="宋体"/>
          <w:sz w:val="18"/>
          <w:szCs w:val="18"/>
        </w:rPr>
        <w:t>不适用</w:t>
      </w:r>
    </w:p>
    <w:p w14:paraId="63F49D19" w14:textId="77777777" w:rsidR="005F07DD" w:rsidRPr="00324D80" w:rsidRDefault="00367185">
      <w:pPr>
        <w:pStyle w:val="2"/>
        <w:spacing w:before="300" w:after="300" w:line="320" w:lineRule="exact"/>
        <w:rPr>
          <w:rFonts w:ascii="宋体" w:eastAsia="宋体" w:hAnsi="宋体" w:cs="宋体" w:hint="eastAsia"/>
          <w:b/>
          <w:bCs/>
          <w:sz w:val="24"/>
          <w:szCs w:val="24"/>
        </w:rPr>
      </w:pPr>
      <w:bookmarkStart w:id="1" w:name="_Toc988890"/>
      <w:r w:rsidRPr="00324D80">
        <w:rPr>
          <w:rFonts w:ascii="宋体" w:eastAsia="宋体" w:hAnsi="宋体" w:cs="宋体"/>
          <w:b/>
          <w:bCs/>
          <w:sz w:val="24"/>
          <w:szCs w:val="24"/>
        </w:rPr>
        <w:t>二、公司基本情况</w:t>
      </w:r>
      <w:bookmarkEnd w:id="1"/>
    </w:p>
    <w:p w14:paraId="3A3BB3E8" w14:textId="77777777" w:rsidR="005F07DD" w:rsidRPr="00324D80" w:rsidRDefault="00367185">
      <w:pPr>
        <w:pStyle w:val="3"/>
        <w:spacing w:line="280" w:lineRule="exact"/>
        <w:jc w:val="left"/>
        <w:rPr>
          <w:rFonts w:ascii="宋体" w:hAnsi="宋体" w:cs="宋体" w:hint="eastAsia"/>
          <w:b/>
          <w:bCs/>
        </w:rPr>
      </w:pPr>
      <w:bookmarkStart w:id="2" w:name="_Toc988891"/>
      <w:r w:rsidRPr="00324D80">
        <w:rPr>
          <w:rFonts w:ascii="宋体" w:hAnsi="宋体" w:cs="宋体"/>
          <w:b/>
          <w:bCs/>
        </w:rPr>
        <w:t>1、公司简介</w:t>
      </w:r>
      <w:bookmarkEnd w:id="2"/>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199"/>
        <w:gridCol w:w="1480"/>
        <w:gridCol w:w="740"/>
        <w:gridCol w:w="740"/>
        <w:gridCol w:w="1480"/>
      </w:tblGrid>
      <w:tr w:rsidR="005F07DD" w:rsidRPr="00324D80" w14:paraId="6BC0E608" w14:textId="77777777">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14:paraId="1F718D5F"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股票简称</w:t>
            </w:r>
          </w:p>
        </w:tc>
        <w:tc>
          <w:tcPr>
            <w:tcW w:w="1480" w:type="dxa"/>
            <w:tcBorders>
              <w:top w:val="single" w:sz="2" w:space="0" w:color="auto"/>
              <w:left w:val="single" w:sz="2" w:space="0" w:color="auto"/>
              <w:bottom w:val="single" w:sz="2" w:space="0" w:color="auto"/>
              <w:right w:val="single" w:sz="2" w:space="0" w:color="auto"/>
            </w:tcBorders>
            <w:vAlign w:val="center"/>
          </w:tcPr>
          <w:p w14:paraId="624930EE" w14:textId="77777777" w:rsidR="005F07DD" w:rsidRPr="00324D80" w:rsidRDefault="00367185">
            <w:pPr>
              <w:spacing w:after="0" w:line="240" w:lineRule="exact"/>
              <w:rPr>
                <w:rFonts w:ascii="宋体" w:eastAsia="宋体" w:hAnsi="宋体" w:cs="宋体" w:hint="eastAsia"/>
                <w:sz w:val="18"/>
                <w:szCs w:val="18"/>
              </w:rPr>
            </w:pPr>
            <w:proofErr w:type="gramStart"/>
            <w:r w:rsidRPr="00324D80">
              <w:rPr>
                <w:rFonts w:ascii="宋体" w:eastAsia="宋体" w:hAnsi="宋体" w:cs="宋体"/>
                <w:sz w:val="18"/>
                <w:szCs w:val="18"/>
              </w:rPr>
              <w:t>威星智能</w:t>
            </w:r>
            <w:proofErr w:type="gramEnd"/>
          </w:p>
        </w:tc>
        <w:tc>
          <w:tcPr>
            <w:tcW w:w="148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CE6F5E0"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股票代码</w:t>
            </w:r>
          </w:p>
        </w:tc>
        <w:tc>
          <w:tcPr>
            <w:tcW w:w="1480" w:type="dxa"/>
            <w:tcBorders>
              <w:top w:val="single" w:sz="2" w:space="0" w:color="auto"/>
              <w:left w:val="single" w:sz="2" w:space="0" w:color="auto"/>
              <w:bottom w:val="single" w:sz="2" w:space="0" w:color="auto"/>
              <w:right w:val="single" w:sz="2" w:space="0" w:color="auto"/>
            </w:tcBorders>
            <w:vAlign w:val="center"/>
          </w:tcPr>
          <w:p w14:paraId="33735CEE"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002849</w:t>
            </w:r>
          </w:p>
        </w:tc>
      </w:tr>
      <w:tr w:rsidR="005F07DD" w:rsidRPr="00324D80" w14:paraId="14510933" w14:textId="77777777">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14:paraId="6245BD5C"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股票上市交易所</w:t>
            </w:r>
          </w:p>
        </w:tc>
        <w:tc>
          <w:tcPr>
            <w:tcW w:w="4439" w:type="dxa"/>
            <w:gridSpan w:val="4"/>
            <w:tcBorders>
              <w:top w:val="single" w:sz="2" w:space="0" w:color="auto"/>
              <w:left w:val="single" w:sz="2" w:space="0" w:color="auto"/>
              <w:bottom w:val="single" w:sz="2" w:space="0" w:color="auto"/>
              <w:right w:val="single" w:sz="2" w:space="0" w:color="auto"/>
            </w:tcBorders>
            <w:vAlign w:val="center"/>
          </w:tcPr>
          <w:p w14:paraId="287E6763"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深圳证券交易所</w:t>
            </w:r>
          </w:p>
        </w:tc>
      </w:tr>
      <w:tr w:rsidR="005F07DD" w:rsidRPr="00324D80" w14:paraId="517011F9" w14:textId="77777777">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14:paraId="03DAA0E7"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变更前的股票简称（如有）</w:t>
            </w:r>
          </w:p>
        </w:tc>
        <w:tc>
          <w:tcPr>
            <w:tcW w:w="4439" w:type="dxa"/>
            <w:gridSpan w:val="4"/>
            <w:tcBorders>
              <w:top w:val="single" w:sz="2" w:space="0" w:color="auto"/>
              <w:left w:val="single" w:sz="2" w:space="0" w:color="auto"/>
              <w:bottom w:val="single" w:sz="2" w:space="0" w:color="auto"/>
              <w:right w:val="single" w:sz="2" w:space="0" w:color="auto"/>
            </w:tcBorders>
            <w:vAlign w:val="center"/>
          </w:tcPr>
          <w:p w14:paraId="755B7A4F"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无</w:t>
            </w:r>
          </w:p>
        </w:tc>
      </w:tr>
      <w:tr w:rsidR="005F07DD" w:rsidRPr="00324D80" w14:paraId="0CC58595" w14:textId="77777777">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14:paraId="536E5F3D"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联系人和联系方式</w:t>
            </w:r>
          </w:p>
        </w:tc>
        <w:tc>
          <w:tcPr>
            <w:tcW w:w="222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C488292"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董事会秘书</w:t>
            </w:r>
          </w:p>
        </w:tc>
        <w:tc>
          <w:tcPr>
            <w:tcW w:w="222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4C60BF5"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证券事务代表</w:t>
            </w:r>
          </w:p>
        </w:tc>
      </w:tr>
      <w:tr w:rsidR="005F07DD" w:rsidRPr="00324D80" w14:paraId="256B647E" w14:textId="77777777">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14:paraId="10A254DD"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姓名</w:t>
            </w:r>
          </w:p>
        </w:tc>
        <w:tc>
          <w:tcPr>
            <w:tcW w:w="2220" w:type="dxa"/>
            <w:gridSpan w:val="2"/>
            <w:tcBorders>
              <w:top w:val="single" w:sz="2" w:space="0" w:color="auto"/>
              <w:left w:val="single" w:sz="2" w:space="0" w:color="auto"/>
              <w:bottom w:val="single" w:sz="2" w:space="0" w:color="auto"/>
              <w:right w:val="single" w:sz="2" w:space="0" w:color="auto"/>
            </w:tcBorders>
            <w:vAlign w:val="center"/>
          </w:tcPr>
          <w:p w14:paraId="3E9E4A72"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张妍</w:t>
            </w:r>
          </w:p>
        </w:tc>
        <w:tc>
          <w:tcPr>
            <w:tcW w:w="2220" w:type="dxa"/>
            <w:gridSpan w:val="2"/>
            <w:tcBorders>
              <w:top w:val="single" w:sz="2" w:space="0" w:color="auto"/>
              <w:left w:val="single" w:sz="2" w:space="0" w:color="auto"/>
              <w:bottom w:val="single" w:sz="2" w:space="0" w:color="auto"/>
              <w:right w:val="single" w:sz="2" w:space="0" w:color="auto"/>
            </w:tcBorders>
            <w:vAlign w:val="center"/>
          </w:tcPr>
          <w:p w14:paraId="599ADF0A" w14:textId="77777777" w:rsidR="005F07DD" w:rsidRPr="00324D80" w:rsidRDefault="005F07DD">
            <w:pPr>
              <w:spacing w:after="0" w:line="240" w:lineRule="exact"/>
              <w:rPr>
                <w:rFonts w:ascii="宋体" w:eastAsia="宋体" w:hAnsi="宋体" w:cs="宋体" w:hint="eastAsia"/>
                <w:sz w:val="18"/>
                <w:szCs w:val="18"/>
              </w:rPr>
            </w:pPr>
          </w:p>
        </w:tc>
      </w:tr>
      <w:tr w:rsidR="005F07DD" w:rsidRPr="00324D80" w14:paraId="4809810A" w14:textId="77777777">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14:paraId="23FAF1CB"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办公地址</w:t>
            </w:r>
          </w:p>
        </w:tc>
        <w:tc>
          <w:tcPr>
            <w:tcW w:w="2220" w:type="dxa"/>
            <w:gridSpan w:val="2"/>
            <w:tcBorders>
              <w:top w:val="single" w:sz="2" w:space="0" w:color="auto"/>
              <w:left w:val="single" w:sz="2" w:space="0" w:color="auto"/>
              <w:bottom w:val="single" w:sz="2" w:space="0" w:color="auto"/>
              <w:right w:val="single" w:sz="2" w:space="0" w:color="auto"/>
            </w:tcBorders>
            <w:vAlign w:val="center"/>
          </w:tcPr>
          <w:p w14:paraId="6D1ABF2D"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浙江省杭州市余杭区良</w:t>
            </w:r>
            <w:proofErr w:type="gramStart"/>
            <w:r w:rsidRPr="00324D80">
              <w:rPr>
                <w:rFonts w:ascii="宋体" w:eastAsia="宋体" w:hAnsi="宋体" w:cs="宋体"/>
                <w:sz w:val="18"/>
                <w:szCs w:val="18"/>
              </w:rPr>
              <w:t>渚</w:t>
            </w:r>
            <w:proofErr w:type="gramEnd"/>
            <w:r w:rsidRPr="00324D80">
              <w:rPr>
                <w:rFonts w:ascii="宋体" w:eastAsia="宋体" w:hAnsi="宋体" w:cs="宋体"/>
                <w:sz w:val="18"/>
                <w:szCs w:val="18"/>
              </w:rPr>
              <w:t>街道</w:t>
            </w:r>
            <w:proofErr w:type="gramStart"/>
            <w:r w:rsidRPr="00324D80">
              <w:rPr>
                <w:rFonts w:ascii="宋体" w:eastAsia="宋体" w:hAnsi="宋体" w:cs="宋体"/>
                <w:sz w:val="18"/>
                <w:szCs w:val="18"/>
              </w:rPr>
              <w:t>祥运路</w:t>
            </w:r>
            <w:proofErr w:type="gramEnd"/>
            <w:r w:rsidRPr="00324D80">
              <w:rPr>
                <w:rFonts w:ascii="宋体" w:eastAsia="宋体" w:hAnsi="宋体" w:cs="宋体"/>
                <w:sz w:val="18"/>
                <w:szCs w:val="18"/>
              </w:rPr>
              <w:t>366-1号1幢</w:t>
            </w:r>
          </w:p>
        </w:tc>
        <w:tc>
          <w:tcPr>
            <w:tcW w:w="2220" w:type="dxa"/>
            <w:gridSpan w:val="2"/>
            <w:tcBorders>
              <w:top w:val="single" w:sz="2" w:space="0" w:color="auto"/>
              <w:left w:val="single" w:sz="2" w:space="0" w:color="auto"/>
              <w:bottom w:val="single" w:sz="2" w:space="0" w:color="auto"/>
              <w:right w:val="single" w:sz="2" w:space="0" w:color="auto"/>
            </w:tcBorders>
            <w:vAlign w:val="center"/>
          </w:tcPr>
          <w:p w14:paraId="362517A9" w14:textId="77777777" w:rsidR="005F07DD" w:rsidRPr="00324D80" w:rsidRDefault="005F07DD">
            <w:pPr>
              <w:spacing w:after="0" w:line="240" w:lineRule="exact"/>
              <w:rPr>
                <w:rFonts w:ascii="宋体" w:eastAsia="宋体" w:hAnsi="宋体" w:cs="宋体" w:hint="eastAsia"/>
                <w:sz w:val="18"/>
                <w:szCs w:val="18"/>
              </w:rPr>
            </w:pPr>
          </w:p>
        </w:tc>
      </w:tr>
      <w:tr w:rsidR="005F07DD" w:rsidRPr="00324D80" w14:paraId="0F1BE843" w14:textId="77777777">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14:paraId="2FA843E3"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传真</w:t>
            </w:r>
          </w:p>
        </w:tc>
        <w:tc>
          <w:tcPr>
            <w:tcW w:w="2220" w:type="dxa"/>
            <w:gridSpan w:val="2"/>
            <w:tcBorders>
              <w:top w:val="single" w:sz="2" w:space="0" w:color="auto"/>
              <w:left w:val="single" w:sz="2" w:space="0" w:color="auto"/>
              <w:bottom w:val="single" w:sz="2" w:space="0" w:color="auto"/>
              <w:right w:val="single" w:sz="2" w:space="0" w:color="auto"/>
            </w:tcBorders>
            <w:vAlign w:val="center"/>
          </w:tcPr>
          <w:p w14:paraId="65411A7A"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0571-88179010-8000</w:t>
            </w:r>
          </w:p>
        </w:tc>
        <w:tc>
          <w:tcPr>
            <w:tcW w:w="2220" w:type="dxa"/>
            <w:gridSpan w:val="2"/>
            <w:tcBorders>
              <w:top w:val="single" w:sz="2" w:space="0" w:color="auto"/>
              <w:left w:val="single" w:sz="2" w:space="0" w:color="auto"/>
              <w:bottom w:val="single" w:sz="2" w:space="0" w:color="auto"/>
              <w:right w:val="single" w:sz="2" w:space="0" w:color="auto"/>
            </w:tcBorders>
            <w:vAlign w:val="center"/>
          </w:tcPr>
          <w:p w14:paraId="0DA1B14F" w14:textId="77777777" w:rsidR="005F07DD" w:rsidRPr="00324D80" w:rsidRDefault="005F07DD">
            <w:pPr>
              <w:spacing w:after="0" w:line="240" w:lineRule="exact"/>
              <w:rPr>
                <w:rFonts w:ascii="宋体" w:eastAsia="宋体" w:hAnsi="宋体" w:cs="宋体" w:hint="eastAsia"/>
                <w:sz w:val="18"/>
                <w:szCs w:val="18"/>
              </w:rPr>
            </w:pPr>
          </w:p>
        </w:tc>
      </w:tr>
      <w:tr w:rsidR="005F07DD" w:rsidRPr="00324D80" w14:paraId="4501E591" w14:textId="77777777">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14:paraId="3CAA0D89"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电话</w:t>
            </w:r>
          </w:p>
        </w:tc>
        <w:tc>
          <w:tcPr>
            <w:tcW w:w="2220" w:type="dxa"/>
            <w:gridSpan w:val="2"/>
            <w:tcBorders>
              <w:top w:val="single" w:sz="2" w:space="0" w:color="auto"/>
              <w:left w:val="single" w:sz="2" w:space="0" w:color="auto"/>
              <w:bottom w:val="single" w:sz="2" w:space="0" w:color="auto"/>
              <w:right w:val="single" w:sz="2" w:space="0" w:color="auto"/>
            </w:tcBorders>
            <w:vAlign w:val="center"/>
          </w:tcPr>
          <w:p w14:paraId="62D60746"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0571-88179003</w:t>
            </w:r>
          </w:p>
        </w:tc>
        <w:tc>
          <w:tcPr>
            <w:tcW w:w="2220" w:type="dxa"/>
            <w:gridSpan w:val="2"/>
            <w:tcBorders>
              <w:top w:val="single" w:sz="2" w:space="0" w:color="auto"/>
              <w:left w:val="single" w:sz="2" w:space="0" w:color="auto"/>
              <w:bottom w:val="single" w:sz="2" w:space="0" w:color="auto"/>
              <w:right w:val="single" w:sz="2" w:space="0" w:color="auto"/>
            </w:tcBorders>
            <w:vAlign w:val="center"/>
          </w:tcPr>
          <w:p w14:paraId="47E205B6" w14:textId="77777777" w:rsidR="005F07DD" w:rsidRPr="00324D80" w:rsidRDefault="005F07DD">
            <w:pPr>
              <w:spacing w:after="0" w:line="240" w:lineRule="exact"/>
              <w:rPr>
                <w:rFonts w:ascii="宋体" w:eastAsia="宋体" w:hAnsi="宋体" w:cs="宋体" w:hint="eastAsia"/>
                <w:sz w:val="18"/>
                <w:szCs w:val="18"/>
              </w:rPr>
            </w:pPr>
          </w:p>
        </w:tc>
      </w:tr>
      <w:tr w:rsidR="005F07DD" w:rsidRPr="00324D80" w14:paraId="607F9980" w14:textId="77777777">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14:paraId="74D0CC55"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电子信箱</w:t>
            </w:r>
          </w:p>
        </w:tc>
        <w:tc>
          <w:tcPr>
            <w:tcW w:w="2220" w:type="dxa"/>
            <w:gridSpan w:val="2"/>
            <w:tcBorders>
              <w:top w:val="single" w:sz="2" w:space="0" w:color="auto"/>
              <w:left w:val="single" w:sz="2" w:space="0" w:color="auto"/>
              <w:bottom w:val="single" w:sz="2" w:space="0" w:color="auto"/>
              <w:right w:val="single" w:sz="2" w:space="0" w:color="auto"/>
            </w:tcBorders>
            <w:vAlign w:val="center"/>
          </w:tcPr>
          <w:p w14:paraId="093BBEDC"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zhangyan@viewshine.cn</w:t>
            </w:r>
          </w:p>
        </w:tc>
        <w:tc>
          <w:tcPr>
            <w:tcW w:w="2220" w:type="dxa"/>
            <w:gridSpan w:val="2"/>
            <w:tcBorders>
              <w:top w:val="single" w:sz="2" w:space="0" w:color="auto"/>
              <w:left w:val="single" w:sz="2" w:space="0" w:color="auto"/>
              <w:bottom w:val="single" w:sz="2" w:space="0" w:color="auto"/>
              <w:right w:val="single" w:sz="2" w:space="0" w:color="auto"/>
            </w:tcBorders>
            <w:vAlign w:val="center"/>
          </w:tcPr>
          <w:p w14:paraId="5415B9A4" w14:textId="77777777" w:rsidR="005F07DD" w:rsidRPr="00324D80" w:rsidRDefault="005F07DD">
            <w:pPr>
              <w:spacing w:after="0" w:line="240" w:lineRule="exact"/>
              <w:rPr>
                <w:rFonts w:ascii="宋体" w:eastAsia="宋体" w:hAnsi="宋体" w:cs="宋体" w:hint="eastAsia"/>
                <w:sz w:val="18"/>
                <w:szCs w:val="18"/>
              </w:rPr>
            </w:pPr>
          </w:p>
        </w:tc>
      </w:tr>
    </w:tbl>
    <w:p w14:paraId="1A30A3EF" w14:textId="77777777" w:rsidR="005F07DD" w:rsidRPr="00324D80" w:rsidRDefault="00367185">
      <w:pPr>
        <w:pStyle w:val="3"/>
        <w:spacing w:line="280" w:lineRule="exact"/>
        <w:jc w:val="left"/>
        <w:rPr>
          <w:rFonts w:ascii="宋体" w:hAnsi="宋体" w:cs="宋体" w:hint="eastAsia"/>
          <w:b/>
          <w:bCs/>
        </w:rPr>
      </w:pPr>
      <w:bookmarkStart w:id="3" w:name="_Toc988892"/>
      <w:r w:rsidRPr="00324D80">
        <w:rPr>
          <w:rFonts w:ascii="宋体" w:hAnsi="宋体" w:cs="宋体"/>
          <w:b/>
          <w:bCs/>
        </w:rPr>
        <w:t>2、报告期主要业务或产品简介</w:t>
      </w:r>
      <w:bookmarkEnd w:id="3"/>
    </w:p>
    <w:p w14:paraId="570DD8E5" w14:textId="77777777" w:rsidR="005F07DD" w:rsidRPr="00324D80" w:rsidRDefault="00367185">
      <w:pPr>
        <w:spacing w:after="0"/>
        <w:ind w:firstLine="361"/>
        <w:jc w:val="both"/>
        <w:rPr>
          <w:rFonts w:ascii="宋体" w:eastAsia="宋体" w:hAnsi="宋体" w:hint="eastAsia"/>
        </w:rPr>
      </w:pPr>
      <w:r w:rsidRPr="00324D80">
        <w:rPr>
          <w:rFonts w:ascii="宋体" w:eastAsia="宋体" w:hAnsi="宋体"/>
          <w:b/>
          <w:sz w:val="18"/>
        </w:rPr>
        <w:t>（一）主营业务、主要产品</w:t>
      </w:r>
    </w:p>
    <w:p w14:paraId="4946B78F" w14:textId="77777777" w:rsidR="005F07DD" w:rsidRPr="00324D80" w:rsidRDefault="00367185">
      <w:pPr>
        <w:spacing w:after="0"/>
        <w:ind w:firstLine="360"/>
        <w:jc w:val="both"/>
        <w:rPr>
          <w:rFonts w:ascii="宋体" w:eastAsia="宋体" w:hAnsi="宋体" w:hint="eastAsia"/>
        </w:rPr>
      </w:pPr>
      <w:r w:rsidRPr="00324D80">
        <w:rPr>
          <w:rFonts w:ascii="宋体" w:eastAsia="宋体" w:hAnsi="宋体"/>
          <w:sz w:val="18"/>
        </w:rPr>
        <w:lastRenderedPageBreak/>
        <w:t>公司自设立以来，主营业务和主要产品未发生重大变化。公司聚焦</w:t>
      </w:r>
      <w:proofErr w:type="gramStart"/>
      <w:r w:rsidRPr="00324D80">
        <w:rPr>
          <w:rFonts w:ascii="宋体" w:eastAsia="宋体" w:hAnsi="宋体"/>
          <w:sz w:val="18"/>
        </w:rPr>
        <w:t>智慧水燃信息系统</w:t>
      </w:r>
      <w:proofErr w:type="gramEnd"/>
      <w:r w:rsidRPr="00324D80">
        <w:rPr>
          <w:rFonts w:ascii="宋体" w:eastAsia="宋体" w:hAnsi="宋体"/>
          <w:sz w:val="18"/>
        </w:rPr>
        <w:t>平台、智能燃气表终端、智慧水</w:t>
      </w:r>
      <w:proofErr w:type="gramStart"/>
      <w:r w:rsidRPr="00324D80">
        <w:rPr>
          <w:rFonts w:ascii="宋体" w:eastAsia="宋体" w:hAnsi="宋体"/>
          <w:sz w:val="18"/>
        </w:rPr>
        <w:t>务</w:t>
      </w:r>
      <w:proofErr w:type="gramEnd"/>
      <w:r w:rsidRPr="00324D80">
        <w:rPr>
          <w:rFonts w:ascii="宋体" w:eastAsia="宋体" w:hAnsi="宋体"/>
          <w:sz w:val="18"/>
        </w:rPr>
        <w:t>终端、新一代电子计量仪表等研发、生产、销售及服务，致力于为城市智能计量领域提供计量终端及智慧能源管理解决方案。公司依托</w:t>
      </w:r>
      <w:proofErr w:type="gramStart"/>
      <w:r w:rsidRPr="00324D80">
        <w:rPr>
          <w:rFonts w:ascii="宋体" w:eastAsia="宋体" w:hAnsi="宋体"/>
          <w:sz w:val="18"/>
        </w:rPr>
        <w:t>行业垂类模型</w:t>
      </w:r>
      <w:proofErr w:type="gramEnd"/>
      <w:r w:rsidRPr="00324D80">
        <w:rPr>
          <w:rFonts w:ascii="宋体" w:eastAsia="宋体" w:hAnsi="宋体"/>
          <w:sz w:val="18"/>
        </w:rPr>
        <w:t>的精准训练，结合前沿计量技术应用，全方位把握物联网通讯技术的发展趋势，通过移动互联、大数据、AI、</w:t>
      </w:r>
      <w:proofErr w:type="gramStart"/>
      <w:r w:rsidRPr="00324D80">
        <w:rPr>
          <w:rFonts w:ascii="宋体" w:eastAsia="宋体" w:hAnsi="宋体"/>
          <w:sz w:val="18"/>
        </w:rPr>
        <w:t>云计算</w:t>
      </w:r>
      <w:proofErr w:type="gramEnd"/>
      <w:r w:rsidRPr="00324D80">
        <w:rPr>
          <w:rFonts w:ascii="宋体" w:eastAsia="宋体" w:hAnsi="宋体"/>
          <w:sz w:val="18"/>
        </w:rPr>
        <w:t>等数字化技术与人工智能深度结合，形成了市场定位精准、产品系列完整、可靠性高、覆盖能源领域全场景的新一代安全及智能化解决方案。</w:t>
      </w:r>
    </w:p>
    <w:p w14:paraId="38FCD825" w14:textId="77777777" w:rsidR="005F07DD" w:rsidRPr="00324D80" w:rsidRDefault="00367185">
      <w:pPr>
        <w:spacing w:after="0"/>
        <w:ind w:firstLine="360"/>
        <w:jc w:val="both"/>
        <w:rPr>
          <w:rFonts w:ascii="宋体" w:eastAsia="宋体" w:hAnsi="宋体" w:hint="eastAsia"/>
        </w:rPr>
      </w:pPr>
      <w:r w:rsidRPr="00324D80">
        <w:rPr>
          <w:rFonts w:ascii="宋体" w:eastAsia="宋体" w:hAnsi="宋体"/>
          <w:sz w:val="18"/>
        </w:rPr>
        <w:t>公司目前拥有三大产品平台，智能产品平台、计量产品平台以及软件产品平台，向城市燃气客户及水务公司提供智能燃气及水表终端及其他服务。</w:t>
      </w:r>
    </w:p>
    <w:p w14:paraId="56FCCC32" w14:textId="77777777" w:rsidR="005F07DD" w:rsidRPr="00324D80" w:rsidRDefault="00367185">
      <w:pPr>
        <w:spacing w:after="0"/>
        <w:ind w:firstLine="361"/>
        <w:jc w:val="both"/>
        <w:rPr>
          <w:rFonts w:ascii="宋体" w:eastAsia="宋体" w:hAnsi="宋体" w:hint="eastAsia"/>
        </w:rPr>
      </w:pPr>
      <w:r w:rsidRPr="00324D80">
        <w:rPr>
          <w:rFonts w:ascii="宋体" w:eastAsia="宋体" w:hAnsi="宋体"/>
          <w:b/>
          <w:sz w:val="18"/>
        </w:rPr>
        <w:t>1、智能产品平台</w:t>
      </w:r>
    </w:p>
    <w:p w14:paraId="3B328251" w14:textId="77777777" w:rsidR="005F07DD" w:rsidRPr="00324D80" w:rsidRDefault="00367185">
      <w:pPr>
        <w:spacing w:after="0"/>
        <w:ind w:firstLine="360"/>
        <w:jc w:val="both"/>
        <w:rPr>
          <w:rFonts w:ascii="宋体" w:eastAsia="宋体" w:hAnsi="宋体" w:hint="eastAsia"/>
        </w:rPr>
      </w:pPr>
      <w:r w:rsidRPr="00324D80">
        <w:rPr>
          <w:rFonts w:ascii="宋体" w:eastAsia="宋体" w:hAnsi="宋体"/>
          <w:sz w:val="18"/>
        </w:rPr>
        <w:t>针对客户现场不同应用环境、管理需求，公司深度融合星闪、RF无线、</w:t>
      </w:r>
      <w:proofErr w:type="spellStart"/>
      <w:r w:rsidRPr="00324D80">
        <w:rPr>
          <w:rFonts w:ascii="宋体" w:eastAsia="宋体" w:hAnsi="宋体"/>
          <w:sz w:val="18"/>
        </w:rPr>
        <w:t>LoRA</w:t>
      </w:r>
      <w:proofErr w:type="spellEnd"/>
      <w:r w:rsidRPr="00324D80">
        <w:rPr>
          <w:rFonts w:ascii="宋体" w:eastAsia="宋体" w:hAnsi="宋体"/>
          <w:sz w:val="18"/>
        </w:rPr>
        <w:t>、NB-IoT等通讯技术，</w:t>
      </w:r>
      <w:r w:rsidRPr="00324D80">
        <w:rPr>
          <w:rFonts w:ascii="宋体" w:eastAsia="宋体" w:hAnsi="宋体"/>
          <w:color w:val="000000"/>
          <w:sz w:val="18"/>
        </w:rPr>
        <w:t>形成了</w:t>
      </w:r>
      <w:r w:rsidRPr="00324D80">
        <w:rPr>
          <w:rFonts w:ascii="宋体" w:eastAsia="宋体" w:hAnsi="宋体"/>
          <w:sz w:val="18"/>
        </w:rPr>
        <w:t>智慧</w:t>
      </w:r>
      <w:proofErr w:type="gramStart"/>
      <w:r w:rsidRPr="00324D80">
        <w:rPr>
          <w:rFonts w:ascii="宋体" w:eastAsia="宋体" w:hAnsi="宋体"/>
          <w:sz w:val="18"/>
        </w:rPr>
        <w:t>厨房星闪网关</w:t>
      </w:r>
      <w:proofErr w:type="gramEnd"/>
      <w:r w:rsidRPr="00324D80">
        <w:rPr>
          <w:rFonts w:ascii="宋体" w:eastAsia="宋体" w:hAnsi="宋体"/>
          <w:sz w:val="18"/>
        </w:rPr>
        <w:t>解决方案、燃气安全风险监测预警解决方案、常闭型商业超声波解决方案</w:t>
      </w:r>
      <w:r w:rsidRPr="00324D80">
        <w:rPr>
          <w:rFonts w:ascii="宋体" w:eastAsia="宋体" w:hAnsi="宋体"/>
          <w:sz w:val="20"/>
        </w:rPr>
        <w:t>、RF远传</w:t>
      </w:r>
      <w:proofErr w:type="gramStart"/>
      <w:r w:rsidRPr="00324D80">
        <w:rPr>
          <w:rFonts w:ascii="宋体" w:eastAsia="宋体" w:hAnsi="宋体"/>
          <w:sz w:val="20"/>
        </w:rPr>
        <w:t>点抄后</w:t>
      </w:r>
      <w:proofErr w:type="gramEnd"/>
      <w:r w:rsidRPr="00324D80">
        <w:rPr>
          <w:rFonts w:ascii="宋体" w:eastAsia="宋体" w:hAnsi="宋体"/>
          <w:sz w:val="20"/>
        </w:rPr>
        <w:t>付费解决方案、RF扩频组网后付费/预付费解决方案、物联网后付费/预付费解决方案等智能解决方案，全方位满足燃气及水务客户的信息化管理和运营管理需求，提高燃气及水务公司的运营效率，降低运营成本。</w:t>
      </w:r>
    </w:p>
    <w:p w14:paraId="1BBE2356" w14:textId="77777777" w:rsidR="005F07DD" w:rsidRPr="00324D80" w:rsidRDefault="00367185">
      <w:pPr>
        <w:spacing w:after="0"/>
        <w:ind w:firstLine="200"/>
        <w:jc w:val="center"/>
        <w:rPr>
          <w:rFonts w:ascii="宋体" w:eastAsia="宋体" w:hAnsi="宋体" w:hint="eastAsia"/>
        </w:rPr>
      </w:pPr>
      <w:r w:rsidRPr="00324D80">
        <w:rPr>
          <w:rFonts w:ascii="宋体" w:eastAsia="宋体" w:hAnsi="宋体"/>
          <w:sz w:val="20"/>
        </w:rPr>
        <w:t xml:space="preserve"> </w:t>
      </w:r>
      <w:r w:rsidRPr="00324D80">
        <w:rPr>
          <w:rFonts w:ascii="宋体" w:eastAsia="宋体" w:hAnsi="宋体"/>
          <w:noProof/>
        </w:rPr>
        <w:drawing>
          <wp:inline distT="0" distB="0" distL="0" distR="0" wp14:anchorId="71B506D3" wp14:editId="4684A00E">
            <wp:extent cx="6076950" cy="11844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6"/>
                    <a:srcRect/>
                    <a:stretch>
                      <a:fillRect/>
                    </a:stretch>
                  </pic:blipFill>
                  <pic:spPr bwMode="auto">
                    <a:xfrm>
                      <a:off x="0" y="0"/>
                      <a:ext cx="6117606" cy="1192337"/>
                    </a:xfrm>
                    <a:prstGeom prst="rect">
                      <a:avLst/>
                    </a:prstGeom>
                  </pic:spPr>
                </pic:pic>
              </a:graphicData>
            </a:graphic>
          </wp:inline>
        </w:drawing>
      </w:r>
      <w:r w:rsidRPr="00324D80">
        <w:rPr>
          <w:rFonts w:ascii="宋体" w:eastAsia="宋体" w:hAnsi="宋体"/>
          <w:sz w:val="20"/>
        </w:rPr>
        <w:t xml:space="preserve"> </w:t>
      </w:r>
    </w:p>
    <w:p w14:paraId="685E5FC6" w14:textId="77777777" w:rsidR="005F07DD" w:rsidRPr="00324D80" w:rsidRDefault="00367185">
      <w:pPr>
        <w:spacing w:after="0"/>
        <w:ind w:firstLine="361"/>
        <w:jc w:val="both"/>
        <w:rPr>
          <w:rFonts w:ascii="宋体" w:eastAsia="宋体" w:hAnsi="宋体" w:hint="eastAsia"/>
        </w:rPr>
      </w:pPr>
      <w:r w:rsidRPr="00324D80">
        <w:rPr>
          <w:rFonts w:ascii="宋体" w:eastAsia="宋体" w:hAnsi="宋体"/>
          <w:b/>
          <w:sz w:val="18"/>
        </w:rPr>
        <w:t>2、计量产品平台</w:t>
      </w:r>
    </w:p>
    <w:p w14:paraId="078D1E5A" w14:textId="77777777" w:rsidR="005F07DD" w:rsidRPr="00324D80" w:rsidRDefault="00367185">
      <w:pPr>
        <w:spacing w:after="0"/>
        <w:ind w:firstLine="360"/>
        <w:jc w:val="both"/>
        <w:rPr>
          <w:rFonts w:ascii="宋体" w:eastAsia="宋体" w:hAnsi="宋体" w:hint="eastAsia"/>
        </w:rPr>
      </w:pPr>
      <w:r w:rsidRPr="00324D80">
        <w:rPr>
          <w:rFonts w:ascii="宋体" w:eastAsia="宋体" w:hAnsi="宋体"/>
          <w:sz w:val="18"/>
        </w:rPr>
        <w:t>超声波计量仪表是利用超声波在介质中传递的时间差进行计量的新型计量仪表。公司充分运用超声波计量的特点，向客户提供一体化的先进解决方案，满足客户需要。</w:t>
      </w:r>
    </w:p>
    <w:p w14:paraId="4BD219FE" w14:textId="77777777" w:rsidR="005F07DD" w:rsidRPr="00324D80" w:rsidRDefault="00367185">
      <w:pPr>
        <w:spacing w:after="0"/>
        <w:ind w:firstLine="360"/>
        <w:jc w:val="both"/>
        <w:rPr>
          <w:rFonts w:ascii="宋体" w:eastAsia="宋体" w:hAnsi="宋体" w:hint="eastAsia"/>
        </w:rPr>
      </w:pPr>
      <w:r w:rsidRPr="00324D80">
        <w:rPr>
          <w:rFonts w:ascii="宋体" w:eastAsia="宋体" w:hAnsi="宋体"/>
          <w:sz w:val="18"/>
        </w:rPr>
        <w:t>公司推出“数字表”，该产品在原有产品基础上做了进一步升级，优化了硬件利用效率和性能，在户内安全数字化管理方面实现了从安装、使用到维护的全流程管控，有效为户内燃气安全使用保驾护航。</w:t>
      </w:r>
    </w:p>
    <w:p w14:paraId="563C010F" w14:textId="77777777" w:rsidR="005F07DD" w:rsidRPr="00324D80" w:rsidRDefault="00367185">
      <w:pPr>
        <w:spacing w:after="0"/>
        <w:ind w:firstLine="360"/>
        <w:jc w:val="center"/>
        <w:rPr>
          <w:rFonts w:ascii="宋体" w:eastAsia="宋体" w:hAnsi="宋体" w:hint="eastAsia"/>
        </w:rPr>
      </w:pPr>
      <w:r w:rsidRPr="00324D80">
        <w:rPr>
          <w:rFonts w:ascii="宋体" w:eastAsia="宋体" w:hAnsi="宋体"/>
          <w:sz w:val="20"/>
        </w:rPr>
        <w:t xml:space="preserve"> </w:t>
      </w:r>
      <w:r w:rsidRPr="00324D80">
        <w:rPr>
          <w:rFonts w:ascii="宋体" w:eastAsia="宋体" w:hAnsi="宋体"/>
          <w:noProof/>
        </w:rPr>
        <w:drawing>
          <wp:inline distT="0" distB="0" distL="0" distR="0" wp14:anchorId="7CA6AA7F" wp14:editId="46732FA1">
            <wp:extent cx="6010275" cy="12670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noChangeArrowheads="1"/>
                    </pic:cNvPicPr>
                  </pic:nvPicPr>
                  <pic:blipFill>
                    <a:blip r:embed="rId7"/>
                    <a:srcRect/>
                    <a:stretch>
                      <a:fillRect/>
                    </a:stretch>
                  </pic:blipFill>
                  <pic:spPr bwMode="auto">
                    <a:xfrm>
                      <a:off x="0" y="0"/>
                      <a:ext cx="6046066" cy="1274601"/>
                    </a:xfrm>
                    <a:prstGeom prst="rect">
                      <a:avLst/>
                    </a:prstGeom>
                  </pic:spPr>
                </pic:pic>
              </a:graphicData>
            </a:graphic>
          </wp:inline>
        </w:drawing>
      </w:r>
      <w:r w:rsidRPr="00324D80">
        <w:rPr>
          <w:rFonts w:ascii="宋体" w:eastAsia="宋体" w:hAnsi="宋体"/>
          <w:sz w:val="20"/>
        </w:rPr>
        <w:t xml:space="preserve"> </w:t>
      </w:r>
    </w:p>
    <w:p w14:paraId="570189D8" w14:textId="77777777" w:rsidR="005F07DD" w:rsidRPr="00324D80" w:rsidRDefault="00367185">
      <w:pPr>
        <w:spacing w:after="0"/>
        <w:ind w:firstLine="361"/>
        <w:jc w:val="both"/>
        <w:rPr>
          <w:rFonts w:ascii="宋体" w:eastAsia="宋体" w:hAnsi="宋体" w:hint="eastAsia"/>
        </w:rPr>
      </w:pPr>
      <w:r w:rsidRPr="00324D80">
        <w:rPr>
          <w:rFonts w:ascii="宋体" w:eastAsia="宋体" w:hAnsi="宋体"/>
          <w:b/>
          <w:sz w:val="18"/>
        </w:rPr>
        <w:t>3、软件产品平台</w:t>
      </w:r>
    </w:p>
    <w:p w14:paraId="711204CC" w14:textId="77777777" w:rsidR="005F07DD" w:rsidRPr="00324D80" w:rsidRDefault="00367185">
      <w:pPr>
        <w:spacing w:after="0"/>
        <w:ind w:firstLine="360"/>
        <w:jc w:val="both"/>
        <w:rPr>
          <w:rFonts w:ascii="宋体" w:eastAsia="宋体" w:hAnsi="宋体" w:hint="eastAsia"/>
        </w:rPr>
      </w:pPr>
      <w:proofErr w:type="gramStart"/>
      <w:r w:rsidRPr="00324D80">
        <w:rPr>
          <w:rFonts w:ascii="宋体" w:eastAsia="宋体" w:hAnsi="宋体"/>
          <w:sz w:val="18"/>
        </w:rPr>
        <w:t>云系统</w:t>
      </w:r>
      <w:proofErr w:type="gramEnd"/>
      <w:r w:rsidRPr="00324D80">
        <w:rPr>
          <w:rFonts w:ascii="宋体" w:eastAsia="宋体" w:hAnsi="宋体"/>
          <w:sz w:val="18"/>
        </w:rPr>
        <w:t>产品为公用事业企业提供“互联网+服务”、“互联网+运营”整体解决方案，产品覆盖燃气、水务等领域，包括：用户管理系统、移动作业平台、客服自助服务平台、物联网管理平台、生产运行监测平台、工商户应用管理系统、GIS巡线系统等，为客户提供核心业务支撑、IoT物联、移动管理、多渠道客户服务接入、增值业务等信息化服务。助力燃气及水务公司实现</w:t>
      </w:r>
      <w:proofErr w:type="gramStart"/>
      <w:r w:rsidRPr="00324D80">
        <w:rPr>
          <w:rFonts w:ascii="宋体" w:eastAsia="宋体" w:hAnsi="宋体"/>
          <w:sz w:val="18"/>
        </w:rPr>
        <w:t>全业务</w:t>
      </w:r>
      <w:proofErr w:type="gramEnd"/>
      <w:r w:rsidRPr="00324D80">
        <w:rPr>
          <w:rFonts w:ascii="宋体" w:eastAsia="宋体" w:hAnsi="宋体"/>
          <w:sz w:val="18"/>
        </w:rPr>
        <w:t>流程管控和全生命周期无忧管理，并通过大数据实现精准营销，挖掘客户潜在价值，提升企业效益。</w:t>
      </w:r>
    </w:p>
    <w:p w14:paraId="5B4F0470" w14:textId="77777777" w:rsidR="005F07DD" w:rsidRPr="00877E0E" w:rsidRDefault="00367185">
      <w:pPr>
        <w:spacing w:after="0"/>
        <w:ind w:firstLine="361"/>
        <w:jc w:val="both"/>
        <w:rPr>
          <w:rFonts w:ascii="宋体" w:eastAsia="宋体" w:hAnsi="宋体" w:hint="eastAsia"/>
          <w:bCs/>
        </w:rPr>
      </w:pPr>
      <w:r w:rsidRPr="00877E0E">
        <w:rPr>
          <w:rFonts w:ascii="宋体" w:eastAsia="宋体" w:hAnsi="宋体"/>
          <w:bCs/>
          <w:sz w:val="18"/>
        </w:rPr>
        <w:lastRenderedPageBreak/>
        <w:t>城市安全生命线检测驾驶舱</w:t>
      </w:r>
    </w:p>
    <w:p w14:paraId="5F5EFA29" w14:textId="16970094" w:rsidR="005F07DD" w:rsidRPr="00324D80" w:rsidRDefault="00877E0E" w:rsidP="00877E0E">
      <w:pPr>
        <w:spacing w:after="0"/>
        <w:ind w:firstLineChars="200" w:firstLine="360"/>
        <w:rPr>
          <w:rFonts w:ascii="宋体" w:eastAsia="宋体" w:hAnsi="宋体" w:hint="eastAsia"/>
        </w:rPr>
      </w:pPr>
      <w:r w:rsidRPr="00877E0E">
        <w:rPr>
          <w:rFonts w:ascii="宋体" w:eastAsia="宋体" w:hAnsi="宋体"/>
          <w:sz w:val="18"/>
        </w:rPr>
        <w:t>城市安全生命线检测驾驶舱为公司全资控股子公司缥缈峰，结合企业信息化、数字化建设现状，通过SCADA系统、管网GIS等打造，实现城市燃气管网安全监测感知、监测预警及动态监控和预警，对城市用气进行风险评估加强风险的智能化管理，实现城市燃气管网和设施智慧监测和综合管理，指导管网设施改造更新、运维养护、应急抢险等，从而提升城镇燃气智能化水平和安全运营，构建“数据+数字化模型+共享”的城市燃气生命线安全工程。</w:t>
      </w:r>
      <w:r w:rsidR="00367185" w:rsidRPr="00324D80">
        <w:rPr>
          <w:rFonts w:ascii="宋体" w:eastAsia="宋体" w:hAnsi="宋体"/>
          <w:sz w:val="20"/>
        </w:rPr>
        <w:t xml:space="preserve"> </w:t>
      </w:r>
      <w:r w:rsidR="00367185" w:rsidRPr="00324D80">
        <w:rPr>
          <w:rFonts w:ascii="宋体" w:eastAsia="宋体" w:hAnsi="宋体"/>
          <w:noProof/>
        </w:rPr>
        <w:drawing>
          <wp:inline distT="0" distB="0" distL="0" distR="0" wp14:anchorId="77921A0B" wp14:editId="4E87C39E">
            <wp:extent cx="5867400" cy="20264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8"/>
                    <a:srcRect/>
                    <a:stretch>
                      <a:fillRect/>
                    </a:stretch>
                  </pic:blipFill>
                  <pic:spPr bwMode="auto">
                    <a:xfrm>
                      <a:off x="0" y="0"/>
                      <a:ext cx="5874454" cy="2028928"/>
                    </a:xfrm>
                    <a:prstGeom prst="rect">
                      <a:avLst/>
                    </a:prstGeom>
                  </pic:spPr>
                </pic:pic>
              </a:graphicData>
            </a:graphic>
          </wp:inline>
        </w:drawing>
      </w:r>
      <w:r w:rsidR="00367185" w:rsidRPr="00324D80">
        <w:rPr>
          <w:rFonts w:ascii="宋体" w:eastAsia="宋体" w:hAnsi="宋体"/>
          <w:sz w:val="20"/>
        </w:rPr>
        <w:t xml:space="preserve"> </w:t>
      </w:r>
    </w:p>
    <w:p w14:paraId="59AFD9E0" w14:textId="77777777" w:rsidR="005F07DD" w:rsidRPr="00324D80" w:rsidRDefault="00367185">
      <w:pPr>
        <w:spacing w:after="0"/>
        <w:ind w:firstLine="200"/>
        <w:jc w:val="center"/>
        <w:rPr>
          <w:rFonts w:ascii="宋体" w:eastAsia="宋体" w:hAnsi="宋体" w:hint="eastAsia"/>
        </w:rPr>
      </w:pPr>
      <w:r w:rsidRPr="00324D80">
        <w:rPr>
          <w:rFonts w:ascii="宋体" w:eastAsia="宋体" w:hAnsi="宋体"/>
          <w:sz w:val="20"/>
        </w:rPr>
        <w:t xml:space="preserve"> </w:t>
      </w:r>
      <w:r w:rsidRPr="00324D80">
        <w:rPr>
          <w:rFonts w:ascii="宋体" w:eastAsia="宋体" w:hAnsi="宋体"/>
          <w:noProof/>
        </w:rPr>
        <w:drawing>
          <wp:inline distT="0" distB="0" distL="0" distR="0" wp14:anchorId="3CF0FC85" wp14:editId="714576D6">
            <wp:extent cx="4792807" cy="351472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noChangeArrowheads="1"/>
                    </pic:cNvPicPr>
                  </pic:nvPicPr>
                  <pic:blipFill>
                    <a:blip r:embed="rId9"/>
                    <a:srcRect/>
                    <a:stretch>
                      <a:fillRect/>
                    </a:stretch>
                  </pic:blipFill>
                  <pic:spPr bwMode="auto">
                    <a:xfrm>
                      <a:off x="0" y="0"/>
                      <a:ext cx="4797403" cy="3518096"/>
                    </a:xfrm>
                    <a:prstGeom prst="rect">
                      <a:avLst/>
                    </a:prstGeom>
                  </pic:spPr>
                </pic:pic>
              </a:graphicData>
            </a:graphic>
          </wp:inline>
        </w:drawing>
      </w:r>
      <w:r w:rsidRPr="00324D80">
        <w:rPr>
          <w:rFonts w:ascii="宋体" w:eastAsia="宋体" w:hAnsi="宋体"/>
          <w:sz w:val="20"/>
        </w:rPr>
        <w:t xml:space="preserve"> </w:t>
      </w:r>
    </w:p>
    <w:p w14:paraId="4A4649A8" w14:textId="77777777" w:rsidR="005F07DD" w:rsidRPr="00324D80" w:rsidRDefault="00367185">
      <w:pPr>
        <w:spacing w:after="0"/>
        <w:ind w:firstLine="361"/>
        <w:jc w:val="both"/>
        <w:rPr>
          <w:rFonts w:ascii="宋体" w:eastAsia="宋体" w:hAnsi="宋体" w:hint="eastAsia"/>
        </w:rPr>
      </w:pPr>
      <w:r w:rsidRPr="00324D80">
        <w:rPr>
          <w:rFonts w:ascii="宋体" w:eastAsia="宋体" w:hAnsi="宋体"/>
          <w:b/>
          <w:sz w:val="18"/>
        </w:rPr>
        <w:t>（二）经营模式</w:t>
      </w:r>
    </w:p>
    <w:p w14:paraId="05847F5C" w14:textId="77777777" w:rsidR="005F07DD" w:rsidRPr="00324D80" w:rsidRDefault="00367185">
      <w:pPr>
        <w:spacing w:after="0"/>
        <w:ind w:firstLine="361"/>
        <w:jc w:val="both"/>
        <w:rPr>
          <w:rFonts w:ascii="宋体" w:eastAsia="宋体" w:hAnsi="宋体" w:hint="eastAsia"/>
        </w:rPr>
      </w:pPr>
      <w:r w:rsidRPr="00324D80">
        <w:rPr>
          <w:rFonts w:ascii="宋体" w:eastAsia="宋体" w:hAnsi="宋体"/>
          <w:b/>
          <w:sz w:val="18"/>
        </w:rPr>
        <w:t>1、研发模式</w:t>
      </w:r>
    </w:p>
    <w:p w14:paraId="4716B148" w14:textId="77777777" w:rsidR="005F07DD" w:rsidRPr="00324D80" w:rsidRDefault="00367185">
      <w:pPr>
        <w:spacing w:after="0"/>
        <w:ind w:firstLine="360"/>
        <w:jc w:val="both"/>
        <w:rPr>
          <w:rFonts w:ascii="宋体" w:eastAsia="宋体" w:hAnsi="宋体" w:hint="eastAsia"/>
        </w:rPr>
      </w:pPr>
      <w:r w:rsidRPr="00324D80">
        <w:rPr>
          <w:rFonts w:ascii="宋体" w:eastAsia="宋体" w:hAnsi="宋体"/>
          <w:sz w:val="18"/>
        </w:rPr>
        <w:t>公司结合IPD集成产品开发模式和项目管理理念，搭建领先的技术平台与产品平台，通过全面的市场需求调研，严密的开发计划，严谨的研发质量评审，准确的接口设计，成熟的共享CBB模块建设，借助先进的PLM信息化系统平台，提升企业的创新能力，向市场快速提供成熟稳定的产品，提升客户的满意度。</w:t>
      </w:r>
    </w:p>
    <w:p w14:paraId="4C9BEE39" w14:textId="77777777" w:rsidR="005F07DD" w:rsidRPr="00324D80" w:rsidRDefault="00367185">
      <w:pPr>
        <w:spacing w:after="0"/>
        <w:ind w:firstLine="361"/>
        <w:jc w:val="both"/>
        <w:rPr>
          <w:rFonts w:ascii="宋体" w:eastAsia="宋体" w:hAnsi="宋体" w:hint="eastAsia"/>
        </w:rPr>
      </w:pPr>
      <w:r w:rsidRPr="00324D80">
        <w:rPr>
          <w:rFonts w:ascii="宋体" w:eastAsia="宋体" w:hAnsi="宋体"/>
          <w:b/>
          <w:sz w:val="18"/>
        </w:rPr>
        <w:t>2、销售模式</w:t>
      </w:r>
    </w:p>
    <w:p w14:paraId="150EDD19" w14:textId="77777777" w:rsidR="005F07DD" w:rsidRPr="00324D80" w:rsidRDefault="00367185">
      <w:pPr>
        <w:spacing w:after="0"/>
        <w:ind w:firstLine="360"/>
        <w:jc w:val="both"/>
        <w:rPr>
          <w:rFonts w:ascii="宋体" w:eastAsia="宋体" w:hAnsi="宋体" w:hint="eastAsia"/>
        </w:rPr>
      </w:pPr>
      <w:r w:rsidRPr="00324D80">
        <w:rPr>
          <w:rFonts w:ascii="宋体" w:eastAsia="宋体" w:hAnsi="宋体"/>
          <w:sz w:val="18"/>
        </w:rPr>
        <w:t>公司坚持以“为客户服务”为导向，在充分市场调研和行业分析的基础上，结合公司战略发展目标和自身优势，面向燃气、水务公司，以直销为主、经销为辅的方式，积极开拓国内外市场。公司不断完善组织管理布局，以区域销售为</w:t>
      </w:r>
      <w:r w:rsidRPr="00324D80">
        <w:rPr>
          <w:rFonts w:ascii="宋体" w:eastAsia="宋体" w:hAnsi="宋体"/>
          <w:sz w:val="18"/>
        </w:rPr>
        <w:lastRenderedPageBreak/>
        <w:t>基础，大力发展集团客户及分散客户，形成覆盖全国的营销网络，同时建立以客户为导向的后端服务体系，提升整体营销能力和服务水平，为客户提供优质的产品和服务。公司产品获得了港华燃气、华润燃气、昆仑能源、新奥能源和中国燃气等主要燃气集团的认可，广泛应用于数百个城市燃气客户，建立了良好的信誉和品牌形象。</w:t>
      </w:r>
    </w:p>
    <w:p w14:paraId="7644BA22" w14:textId="77777777" w:rsidR="005F07DD" w:rsidRPr="00324D80" w:rsidRDefault="00367185">
      <w:pPr>
        <w:spacing w:after="0"/>
        <w:ind w:firstLine="361"/>
        <w:jc w:val="both"/>
        <w:rPr>
          <w:rFonts w:ascii="宋体" w:eastAsia="宋体" w:hAnsi="宋体" w:hint="eastAsia"/>
        </w:rPr>
      </w:pPr>
      <w:r w:rsidRPr="00324D80">
        <w:rPr>
          <w:rFonts w:ascii="宋体" w:eastAsia="宋体" w:hAnsi="宋体"/>
          <w:b/>
          <w:sz w:val="18"/>
        </w:rPr>
        <w:t>3、采购模式</w:t>
      </w:r>
    </w:p>
    <w:p w14:paraId="45A59114" w14:textId="77777777" w:rsidR="005F07DD" w:rsidRPr="00324D80" w:rsidRDefault="00367185">
      <w:pPr>
        <w:spacing w:after="0"/>
        <w:ind w:firstLine="360"/>
        <w:jc w:val="both"/>
        <w:rPr>
          <w:rFonts w:ascii="宋体" w:eastAsia="宋体" w:hAnsi="宋体" w:hint="eastAsia"/>
        </w:rPr>
      </w:pPr>
      <w:r w:rsidRPr="00324D80">
        <w:rPr>
          <w:rFonts w:ascii="宋体" w:eastAsia="宋体" w:hAnsi="宋体"/>
          <w:sz w:val="18"/>
        </w:rPr>
        <w:t>公司按照研发部门的要求对新供应商的原材料进行严格的验证测试，对合格供应商每个季度开展供应商评审，对评审优秀的供应商纳入合格供应商名录，</w:t>
      </w:r>
      <w:proofErr w:type="gramStart"/>
      <w:r w:rsidRPr="00324D80">
        <w:rPr>
          <w:rFonts w:ascii="宋体" w:eastAsia="宋体" w:hAnsi="宋体"/>
          <w:sz w:val="18"/>
        </w:rPr>
        <w:t>做为</w:t>
      </w:r>
      <w:proofErr w:type="gramEnd"/>
      <w:r w:rsidRPr="00324D80">
        <w:rPr>
          <w:rFonts w:ascii="宋体" w:eastAsia="宋体" w:hAnsi="宋体"/>
          <w:sz w:val="18"/>
        </w:rPr>
        <w:t>原材料采购的依据，对于不合格的供应商进行及时剔除采购名单。公司制定了《供应商管理办法》、《供应商质量管理办法》、《质量管理规定》、《来料不良处罚流程》等</w:t>
      </w:r>
      <w:proofErr w:type="gramStart"/>
      <w:r w:rsidRPr="00324D80">
        <w:rPr>
          <w:rFonts w:ascii="宋体" w:eastAsia="宋体" w:hAnsi="宋体"/>
          <w:sz w:val="18"/>
        </w:rPr>
        <w:t>质控制</w:t>
      </w:r>
      <w:proofErr w:type="gramEnd"/>
      <w:r w:rsidRPr="00324D80">
        <w:rPr>
          <w:rFonts w:ascii="宋体" w:eastAsia="宋体" w:hAnsi="宋体"/>
          <w:sz w:val="18"/>
        </w:rPr>
        <w:t>度文件，以及QIS质量管理系统辅助对产品质量进行管控，从原材料、来料检验、工艺过程控制、生产过程管理、质量检测等环节建立了完善的质量控制程序。实现公司对优秀供应商的选取和维护，保障原材料价格和质量。</w:t>
      </w:r>
    </w:p>
    <w:p w14:paraId="7BBB874D" w14:textId="77777777" w:rsidR="005F07DD" w:rsidRPr="00324D80" w:rsidRDefault="00367185">
      <w:pPr>
        <w:spacing w:after="0"/>
        <w:ind w:firstLine="361"/>
        <w:jc w:val="both"/>
        <w:rPr>
          <w:rFonts w:ascii="宋体" w:eastAsia="宋体" w:hAnsi="宋体" w:hint="eastAsia"/>
        </w:rPr>
      </w:pPr>
      <w:r w:rsidRPr="00324D80">
        <w:rPr>
          <w:rFonts w:ascii="宋体" w:eastAsia="宋体" w:hAnsi="宋体"/>
          <w:b/>
          <w:sz w:val="18"/>
        </w:rPr>
        <w:t>4、生产模式</w:t>
      </w:r>
    </w:p>
    <w:p w14:paraId="64428969" w14:textId="77777777" w:rsidR="005F07DD" w:rsidRPr="00324D80" w:rsidRDefault="00367185">
      <w:pPr>
        <w:spacing w:after="0"/>
        <w:ind w:firstLine="360"/>
        <w:jc w:val="both"/>
        <w:rPr>
          <w:rFonts w:ascii="宋体" w:eastAsia="宋体" w:hAnsi="宋体" w:hint="eastAsia"/>
        </w:rPr>
      </w:pPr>
      <w:r w:rsidRPr="00324D80">
        <w:rPr>
          <w:rFonts w:ascii="宋体" w:eastAsia="宋体" w:hAnsi="宋体"/>
          <w:sz w:val="18"/>
        </w:rPr>
        <w:t>公司贯彻匠心为本、精工制造的理念，不断提升精益化制造能力与智能制造水平。积极改进产品工艺，提高生产自动化水平，采用高效自动化、弹性生产线、盈利生产线的新型生产方式，提升产能和生产效率；公司工厂内部实现互联互通网络架构，如PLM、ERP、MES、QIS、SRM、CRM高效协同与集成，从产品研发、订单下达、生产计划、物料需求计划、工单下达、物料采购、生产过程管控、质量管控、直至发货出库等一系列过程进行精益化管理，实时获取并把</w:t>
      </w:r>
      <w:proofErr w:type="gramStart"/>
      <w:r w:rsidRPr="00324D80">
        <w:rPr>
          <w:rFonts w:ascii="宋体" w:eastAsia="宋体" w:hAnsi="宋体"/>
          <w:sz w:val="18"/>
        </w:rPr>
        <w:t>控生产</w:t>
      </w:r>
      <w:proofErr w:type="gramEnd"/>
      <w:r w:rsidRPr="00324D80">
        <w:rPr>
          <w:rFonts w:ascii="宋体" w:eastAsia="宋体" w:hAnsi="宋体"/>
          <w:sz w:val="18"/>
        </w:rPr>
        <w:t>各工序的情况，系统性地优化生产制造业务流程，对产品过程质量和</w:t>
      </w:r>
      <w:proofErr w:type="gramStart"/>
      <w:r w:rsidRPr="00324D80">
        <w:rPr>
          <w:rFonts w:ascii="宋体" w:eastAsia="宋体" w:hAnsi="宋体"/>
          <w:sz w:val="18"/>
        </w:rPr>
        <w:t>可</w:t>
      </w:r>
      <w:proofErr w:type="gramEnd"/>
      <w:r w:rsidRPr="00324D80">
        <w:rPr>
          <w:rFonts w:ascii="宋体" w:eastAsia="宋体" w:hAnsi="宋体"/>
          <w:sz w:val="18"/>
        </w:rPr>
        <w:t>追溯性进行全面提升，提高生产制造、供应链管理、产品营销及服务等环节的智能决策水平，保证订单周期、产能平衡、质量管控、产出效率，让公司的供应</w:t>
      </w:r>
      <w:proofErr w:type="gramStart"/>
      <w:r w:rsidRPr="00324D80">
        <w:rPr>
          <w:rFonts w:ascii="宋体" w:eastAsia="宋体" w:hAnsi="宋体"/>
          <w:sz w:val="18"/>
        </w:rPr>
        <w:t>链生产</w:t>
      </w:r>
      <w:proofErr w:type="gramEnd"/>
      <w:r w:rsidRPr="00324D80">
        <w:rPr>
          <w:rFonts w:ascii="宋体" w:eastAsia="宋体" w:hAnsi="宋体"/>
          <w:sz w:val="18"/>
        </w:rPr>
        <w:t>更加敏捷地响应市场变化，与顾客建立长期稳定的合作关系。</w:t>
      </w:r>
    </w:p>
    <w:p w14:paraId="679E6579" w14:textId="77777777" w:rsidR="005F07DD" w:rsidRPr="00324D80" w:rsidRDefault="00367185">
      <w:pPr>
        <w:spacing w:after="0"/>
        <w:ind w:firstLine="361"/>
        <w:jc w:val="both"/>
        <w:rPr>
          <w:rFonts w:ascii="宋体" w:eastAsia="宋体" w:hAnsi="宋体" w:hint="eastAsia"/>
        </w:rPr>
      </w:pPr>
      <w:r w:rsidRPr="00324D80">
        <w:rPr>
          <w:rFonts w:ascii="宋体" w:eastAsia="宋体" w:hAnsi="宋体"/>
          <w:b/>
          <w:sz w:val="18"/>
        </w:rPr>
        <w:t>（三）行业地位</w:t>
      </w:r>
    </w:p>
    <w:p w14:paraId="42A7B51D" w14:textId="77777777" w:rsidR="005F07DD" w:rsidRPr="00324D80" w:rsidRDefault="00367185">
      <w:pPr>
        <w:spacing w:after="0"/>
        <w:ind w:firstLine="360"/>
        <w:jc w:val="both"/>
        <w:rPr>
          <w:rFonts w:ascii="宋体" w:eastAsia="宋体" w:hAnsi="宋体" w:hint="eastAsia"/>
        </w:rPr>
      </w:pPr>
      <w:proofErr w:type="gramStart"/>
      <w:r w:rsidRPr="00324D80">
        <w:rPr>
          <w:rFonts w:ascii="宋体" w:eastAsia="宋体" w:hAnsi="宋体"/>
          <w:sz w:val="18"/>
        </w:rPr>
        <w:t>威星智能</w:t>
      </w:r>
      <w:proofErr w:type="gramEnd"/>
      <w:r w:rsidRPr="00324D80">
        <w:rPr>
          <w:rFonts w:ascii="宋体" w:eastAsia="宋体" w:hAnsi="宋体"/>
          <w:sz w:val="18"/>
        </w:rPr>
        <w:t>成立于2005年，是国内智能燃气计量领域的头部企业之一，在行业内拥有较强的技术实力和品牌效应，同时，公司营业收入总额、市场区域覆盖、终端布局数量均处于行业前列。公司作为行业领先的以燃气、水务为核心的公用事业</w:t>
      </w:r>
      <w:proofErr w:type="gramStart"/>
      <w:r w:rsidRPr="00324D80">
        <w:rPr>
          <w:rFonts w:ascii="宋体" w:eastAsia="宋体" w:hAnsi="宋体"/>
          <w:sz w:val="18"/>
        </w:rPr>
        <w:t>智能物联数字化</w:t>
      </w:r>
      <w:proofErr w:type="gramEnd"/>
      <w:r w:rsidRPr="00324D80">
        <w:rPr>
          <w:rFonts w:ascii="宋体" w:eastAsia="宋体" w:hAnsi="宋体"/>
          <w:sz w:val="18"/>
        </w:rPr>
        <w:t>解决方案供应商，致力于城市燃气及水务行业智能计量终端和管理系统平台的研发、生产和销售。公司与大型燃气集团及数百个城市燃气客户建立了良好的合作关系，拥有千余家客户，产品销往国内30多个省级行政区，并出口东南亚、拉美等海外市场。公司积极推动先进计量技术国家标准及国家检定规程的发布，参与多个地区检定规程的制订，主起草“浙江制造”标准并取得了国际MID认证,是国内首家获得超声波燃气表NIMCS计量评价认证的企业。</w:t>
      </w:r>
    </w:p>
    <w:p w14:paraId="36DBF16D" w14:textId="77777777" w:rsidR="005F07DD" w:rsidRPr="00324D80" w:rsidRDefault="00367185">
      <w:pPr>
        <w:spacing w:after="0"/>
        <w:ind w:firstLine="360"/>
        <w:jc w:val="both"/>
        <w:rPr>
          <w:rFonts w:ascii="宋体" w:eastAsia="宋体" w:hAnsi="宋体" w:hint="eastAsia"/>
        </w:rPr>
      </w:pPr>
      <w:r w:rsidRPr="00324D80">
        <w:rPr>
          <w:rFonts w:ascii="宋体" w:eastAsia="宋体" w:hAnsi="宋体"/>
          <w:sz w:val="18"/>
        </w:rPr>
        <w:t>公司自成立以来，将“为客户服务，坚持群体奋斗”作为公司的经营理念，</w:t>
      </w:r>
      <w:proofErr w:type="gramStart"/>
      <w:r w:rsidRPr="00324D80">
        <w:rPr>
          <w:rFonts w:ascii="宋体" w:eastAsia="宋体" w:hAnsi="宋体"/>
          <w:sz w:val="18"/>
        </w:rPr>
        <w:t>驱动威星智能</w:t>
      </w:r>
      <w:proofErr w:type="gramEnd"/>
      <w:r w:rsidRPr="00324D80">
        <w:rPr>
          <w:rFonts w:ascii="宋体" w:eastAsia="宋体" w:hAnsi="宋体"/>
          <w:sz w:val="18"/>
        </w:rPr>
        <w:t>探索前沿计量技术，提供给客户更完善的产品解决方案，让智慧生活落地现实，助推智慧城市建设。值得自豪的是公司为客户提供优质服务的决心促使公司的服务得到了大量客户的认可，最终</w:t>
      </w:r>
      <w:proofErr w:type="gramStart"/>
      <w:r w:rsidRPr="00324D80">
        <w:rPr>
          <w:rFonts w:ascii="宋体" w:eastAsia="宋体" w:hAnsi="宋体"/>
          <w:sz w:val="18"/>
        </w:rPr>
        <w:t>为威星智能</w:t>
      </w:r>
      <w:proofErr w:type="gramEnd"/>
      <w:r w:rsidRPr="00324D80">
        <w:rPr>
          <w:rFonts w:ascii="宋体" w:eastAsia="宋体" w:hAnsi="宋体"/>
          <w:sz w:val="18"/>
        </w:rPr>
        <w:t>积累了大量长久稳定的优质客户。实干兴企、产业报国，这</w:t>
      </w:r>
      <w:proofErr w:type="gramStart"/>
      <w:r w:rsidRPr="00324D80">
        <w:rPr>
          <w:rFonts w:ascii="宋体" w:eastAsia="宋体" w:hAnsi="宋体"/>
          <w:sz w:val="18"/>
        </w:rPr>
        <w:t>是威星智能</w:t>
      </w:r>
      <w:proofErr w:type="gramEnd"/>
      <w:r w:rsidRPr="00324D80">
        <w:rPr>
          <w:rFonts w:ascii="宋体" w:eastAsia="宋体" w:hAnsi="宋体"/>
          <w:sz w:val="18"/>
        </w:rPr>
        <w:t>的梦想和抱负。公司将继续聚焦实业、做精主业，抓住机遇、创新奋斗，为中国经济航船行稳致远</w:t>
      </w:r>
      <w:proofErr w:type="gramStart"/>
      <w:r w:rsidRPr="00324D80">
        <w:rPr>
          <w:rFonts w:ascii="宋体" w:eastAsia="宋体" w:hAnsi="宋体"/>
          <w:sz w:val="18"/>
        </w:rPr>
        <w:t>作出</w:t>
      </w:r>
      <w:proofErr w:type="gramEnd"/>
      <w:r w:rsidRPr="00324D80">
        <w:rPr>
          <w:rFonts w:ascii="宋体" w:eastAsia="宋体" w:hAnsi="宋体"/>
          <w:sz w:val="18"/>
        </w:rPr>
        <w:t>更大贡献。</w:t>
      </w:r>
    </w:p>
    <w:p w14:paraId="2EC9BEE9" w14:textId="77777777" w:rsidR="005F07DD" w:rsidRPr="00324D80" w:rsidRDefault="00367185">
      <w:pPr>
        <w:pStyle w:val="3"/>
        <w:spacing w:line="280" w:lineRule="exact"/>
        <w:jc w:val="left"/>
        <w:rPr>
          <w:rFonts w:ascii="宋体" w:hAnsi="宋体" w:cs="宋体" w:hint="eastAsia"/>
          <w:b/>
          <w:bCs/>
        </w:rPr>
      </w:pPr>
      <w:bookmarkStart w:id="4" w:name="_Toc988893"/>
      <w:r w:rsidRPr="00324D80">
        <w:rPr>
          <w:rFonts w:ascii="宋体" w:hAnsi="宋体" w:cs="宋体"/>
          <w:b/>
          <w:bCs/>
        </w:rPr>
        <w:t>3、主要会计数据和财务指标</w:t>
      </w:r>
      <w:bookmarkEnd w:id="4"/>
    </w:p>
    <w:p w14:paraId="0CADC218" w14:textId="77777777" w:rsidR="005F07DD" w:rsidRPr="00324D80" w:rsidRDefault="00367185">
      <w:pPr>
        <w:keepNext/>
        <w:keepLines/>
        <w:spacing w:before="300" w:after="300" w:line="280" w:lineRule="exact"/>
        <w:outlineLvl w:val="3"/>
        <w:rPr>
          <w:rFonts w:ascii="宋体" w:eastAsia="宋体" w:hAnsi="宋体" w:cs="宋体" w:hint="eastAsia"/>
          <w:b/>
          <w:bCs/>
          <w:sz w:val="18"/>
          <w:szCs w:val="18"/>
        </w:rPr>
      </w:pPr>
      <w:bookmarkStart w:id="5" w:name="_Toc988894"/>
      <w:r w:rsidRPr="00324D80">
        <w:rPr>
          <w:rFonts w:ascii="宋体" w:eastAsia="宋体" w:hAnsi="宋体" w:cs="宋体"/>
          <w:b/>
          <w:bCs/>
          <w:sz w:val="18"/>
          <w:szCs w:val="18"/>
        </w:rPr>
        <w:t>（1） 近三年主要会计数据和财务指标</w:t>
      </w:r>
      <w:bookmarkEnd w:id="5"/>
    </w:p>
    <w:p w14:paraId="00FBD735"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公司是否需追溯调整或重述以前年度会计数据</w:t>
      </w:r>
    </w:p>
    <w:p w14:paraId="587BC07A"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 xml:space="preserve">□是 </w:t>
      </w:r>
      <w:r w:rsidRPr="00324D80">
        <w:rPr>
          <w:rFonts w:ascii="宋体" w:eastAsia="宋体" w:hAnsi="宋体" w:cs="宋体"/>
          <w:sz w:val="18"/>
          <w:szCs w:val="18"/>
        </w:rPr>
        <w:sym w:font="Wingdings 2" w:char="F052"/>
      </w:r>
      <w:r w:rsidRPr="00324D80">
        <w:rPr>
          <w:rFonts w:ascii="宋体" w:eastAsia="宋体" w:hAnsi="宋体" w:cs="宋体"/>
          <w:sz w:val="18"/>
          <w:szCs w:val="18"/>
        </w:rPr>
        <w:t>否</w:t>
      </w:r>
    </w:p>
    <w:p w14:paraId="1E93F951" w14:textId="77777777" w:rsidR="005F07DD" w:rsidRPr="00324D80" w:rsidRDefault="00367185">
      <w:pPr>
        <w:spacing w:before="120" w:after="120" w:line="240" w:lineRule="exact"/>
        <w:jc w:val="right"/>
        <w:rPr>
          <w:rFonts w:ascii="宋体" w:eastAsia="宋体" w:hAnsi="宋体" w:cs="宋体" w:hint="eastAsia"/>
          <w:sz w:val="18"/>
          <w:szCs w:val="18"/>
        </w:rPr>
      </w:pPr>
      <w:r w:rsidRPr="00324D80">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5F07DD" w:rsidRPr="00324D80" w14:paraId="507C5AA9"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DD05412" w14:textId="77777777" w:rsidR="005F07DD" w:rsidRPr="00324D80" w:rsidRDefault="005F07DD">
            <w:pPr>
              <w:rPr>
                <w:rFonts w:ascii="宋体" w:eastAsia="宋体" w:hAnsi="宋体"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C36007F"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2025年末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EBDC654"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2024年末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16E5537"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本年末比上年末增减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0C7EA82"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2023年末</w:t>
            </w:r>
          </w:p>
        </w:tc>
      </w:tr>
      <w:tr w:rsidR="005F07DD" w:rsidRPr="00324D80" w14:paraId="6A6E605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DAEF2A4"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总资产</w:t>
            </w:r>
          </w:p>
        </w:tc>
        <w:tc>
          <w:tcPr>
            <w:tcW w:w="1928" w:type="dxa"/>
            <w:tcBorders>
              <w:top w:val="single" w:sz="2" w:space="0" w:color="auto"/>
              <w:left w:val="single" w:sz="2" w:space="0" w:color="auto"/>
              <w:bottom w:val="single" w:sz="2" w:space="0" w:color="auto"/>
              <w:right w:val="single" w:sz="2" w:space="0" w:color="auto"/>
            </w:tcBorders>
            <w:vAlign w:val="center"/>
          </w:tcPr>
          <w:p w14:paraId="4B9F50F9"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2,793,295,517.23</w:t>
            </w:r>
          </w:p>
        </w:tc>
        <w:tc>
          <w:tcPr>
            <w:tcW w:w="1928" w:type="dxa"/>
            <w:tcBorders>
              <w:top w:val="single" w:sz="2" w:space="0" w:color="auto"/>
              <w:left w:val="single" w:sz="2" w:space="0" w:color="auto"/>
              <w:bottom w:val="single" w:sz="2" w:space="0" w:color="auto"/>
              <w:right w:val="single" w:sz="2" w:space="0" w:color="auto"/>
            </w:tcBorders>
            <w:vAlign w:val="center"/>
          </w:tcPr>
          <w:p w14:paraId="39F240AA"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2,423,377,148.51</w:t>
            </w:r>
          </w:p>
        </w:tc>
        <w:tc>
          <w:tcPr>
            <w:tcW w:w="1928" w:type="dxa"/>
            <w:tcBorders>
              <w:top w:val="single" w:sz="2" w:space="0" w:color="auto"/>
              <w:left w:val="single" w:sz="2" w:space="0" w:color="auto"/>
              <w:bottom w:val="single" w:sz="2" w:space="0" w:color="auto"/>
              <w:right w:val="single" w:sz="2" w:space="0" w:color="auto"/>
            </w:tcBorders>
            <w:vAlign w:val="center"/>
          </w:tcPr>
          <w:p w14:paraId="1DA79C4A"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15.26%</w:t>
            </w:r>
          </w:p>
        </w:tc>
        <w:tc>
          <w:tcPr>
            <w:tcW w:w="1928" w:type="dxa"/>
            <w:tcBorders>
              <w:top w:val="single" w:sz="2" w:space="0" w:color="auto"/>
              <w:left w:val="single" w:sz="2" w:space="0" w:color="auto"/>
              <w:bottom w:val="single" w:sz="2" w:space="0" w:color="auto"/>
              <w:right w:val="single" w:sz="2" w:space="0" w:color="auto"/>
            </w:tcBorders>
            <w:vAlign w:val="center"/>
          </w:tcPr>
          <w:p w14:paraId="42239741"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2,358,560,428.06</w:t>
            </w:r>
          </w:p>
        </w:tc>
      </w:tr>
      <w:tr w:rsidR="005F07DD" w:rsidRPr="00324D80" w14:paraId="5A40D03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771FD1C"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lastRenderedPageBreak/>
              <w:t>归属于上市公司股东的净资产</w:t>
            </w:r>
          </w:p>
        </w:tc>
        <w:tc>
          <w:tcPr>
            <w:tcW w:w="1928" w:type="dxa"/>
            <w:tcBorders>
              <w:top w:val="single" w:sz="2" w:space="0" w:color="auto"/>
              <w:left w:val="single" w:sz="2" w:space="0" w:color="auto"/>
              <w:bottom w:val="single" w:sz="2" w:space="0" w:color="auto"/>
              <w:right w:val="single" w:sz="2" w:space="0" w:color="auto"/>
            </w:tcBorders>
            <w:vAlign w:val="center"/>
          </w:tcPr>
          <w:p w14:paraId="5B07F469"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1,351,352,968.51</w:t>
            </w:r>
          </w:p>
        </w:tc>
        <w:tc>
          <w:tcPr>
            <w:tcW w:w="1928" w:type="dxa"/>
            <w:tcBorders>
              <w:top w:val="single" w:sz="2" w:space="0" w:color="auto"/>
              <w:left w:val="single" w:sz="2" w:space="0" w:color="auto"/>
              <w:bottom w:val="single" w:sz="2" w:space="0" w:color="auto"/>
              <w:right w:val="single" w:sz="2" w:space="0" w:color="auto"/>
            </w:tcBorders>
            <w:vAlign w:val="center"/>
          </w:tcPr>
          <w:p w14:paraId="5B3846CC"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1,304,560,342.40</w:t>
            </w:r>
          </w:p>
        </w:tc>
        <w:tc>
          <w:tcPr>
            <w:tcW w:w="1928" w:type="dxa"/>
            <w:tcBorders>
              <w:top w:val="single" w:sz="2" w:space="0" w:color="auto"/>
              <w:left w:val="single" w:sz="2" w:space="0" w:color="auto"/>
              <w:bottom w:val="single" w:sz="2" w:space="0" w:color="auto"/>
              <w:right w:val="single" w:sz="2" w:space="0" w:color="auto"/>
            </w:tcBorders>
            <w:vAlign w:val="center"/>
          </w:tcPr>
          <w:p w14:paraId="1900D41B"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3.59%</w:t>
            </w:r>
          </w:p>
        </w:tc>
        <w:tc>
          <w:tcPr>
            <w:tcW w:w="1928" w:type="dxa"/>
            <w:tcBorders>
              <w:top w:val="single" w:sz="2" w:space="0" w:color="auto"/>
              <w:left w:val="single" w:sz="2" w:space="0" w:color="auto"/>
              <w:bottom w:val="single" w:sz="2" w:space="0" w:color="auto"/>
              <w:right w:val="single" w:sz="2" w:space="0" w:color="auto"/>
            </w:tcBorders>
            <w:vAlign w:val="center"/>
          </w:tcPr>
          <w:p w14:paraId="4FD5DB09"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1,273,640,774.29</w:t>
            </w:r>
          </w:p>
        </w:tc>
      </w:tr>
      <w:tr w:rsidR="005F07DD" w:rsidRPr="00324D80" w14:paraId="25A5DA0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37FE589" w14:textId="77777777" w:rsidR="005F07DD" w:rsidRPr="00324D80" w:rsidRDefault="005F07DD">
            <w:pPr>
              <w:rPr>
                <w:rFonts w:ascii="宋体" w:eastAsia="宋体" w:hAnsi="宋体"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C95644D"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2025年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A35CC44"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2024年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CEA34EE"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本年比上年增减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FFD5B57"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2023年</w:t>
            </w:r>
          </w:p>
        </w:tc>
      </w:tr>
      <w:tr w:rsidR="005F07DD" w:rsidRPr="00324D80" w14:paraId="3ED1A30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6A9BB3E"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营业收入</w:t>
            </w:r>
          </w:p>
        </w:tc>
        <w:tc>
          <w:tcPr>
            <w:tcW w:w="1928" w:type="dxa"/>
            <w:tcBorders>
              <w:top w:val="single" w:sz="2" w:space="0" w:color="auto"/>
              <w:left w:val="single" w:sz="2" w:space="0" w:color="auto"/>
              <w:bottom w:val="single" w:sz="2" w:space="0" w:color="auto"/>
              <w:right w:val="single" w:sz="2" w:space="0" w:color="auto"/>
            </w:tcBorders>
            <w:vAlign w:val="center"/>
          </w:tcPr>
          <w:p w14:paraId="18813A07"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1,653,137,141.63</w:t>
            </w:r>
          </w:p>
        </w:tc>
        <w:tc>
          <w:tcPr>
            <w:tcW w:w="1928" w:type="dxa"/>
            <w:tcBorders>
              <w:top w:val="single" w:sz="2" w:space="0" w:color="auto"/>
              <w:left w:val="single" w:sz="2" w:space="0" w:color="auto"/>
              <w:bottom w:val="single" w:sz="2" w:space="0" w:color="auto"/>
              <w:right w:val="single" w:sz="2" w:space="0" w:color="auto"/>
            </w:tcBorders>
            <w:vAlign w:val="center"/>
          </w:tcPr>
          <w:p w14:paraId="309BE5BA"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1,297,443,967.28</w:t>
            </w:r>
          </w:p>
        </w:tc>
        <w:tc>
          <w:tcPr>
            <w:tcW w:w="1928" w:type="dxa"/>
            <w:tcBorders>
              <w:top w:val="single" w:sz="2" w:space="0" w:color="auto"/>
              <w:left w:val="single" w:sz="2" w:space="0" w:color="auto"/>
              <w:bottom w:val="single" w:sz="2" w:space="0" w:color="auto"/>
              <w:right w:val="single" w:sz="2" w:space="0" w:color="auto"/>
            </w:tcBorders>
            <w:vAlign w:val="center"/>
          </w:tcPr>
          <w:p w14:paraId="67C8D979"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27.41%</w:t>
            </w:r>
          </w:p>
        </w:tc>
        <w:tc>
          <w:tcPr>
            <w:tcW w:w="1928" w:type="dxa"/>
            <w:tcBorders>
              <w:top w:val="single" w:sz="2" w:space="0" w:color="auto"/>
              <w:left w:val="single" w:sz="2" w:space="0" w:color="auto"/>
              <w:bottom w:val="single" w:sz="2" w:space="0" w:color="auto"/>
              <w:right w:val="single" w:sz="2" w:space="0" w:color="auto"/>
            </w:tcBorders>
            <w:vAlign w:val="center"/>
          </w:tcPr>
          <w:p w14:paraId="1F4BED0C"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1,243,665,688.27</w:t>
            </w:r>
          </w:p>
        </w:tc>
      </w:tr>
      <w:tr w:rsidR="005F07DD" w:rsidRPr="00324D80" w14:paraId="6CACEA2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B6809D4"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归属于上市公司股东的净利润</w:t>
            </w:r>
          </w:p>
        </w:tc>
        <w:tc>
          <w:tcPr>
            <w:tcW w:w="1928" w:type="dxa"/>
            <w:tcBorders>
              <w:top w:val="single" w:sz="2" w:space="0" w:color="auto"/>
              <w:left w:val="single" w:sz="2" w:space="0" w:color="auto"/>
              <w:bottom w:val="single" w:sz="2" w:space="0" w:color="auto"/>
              <w:right w:val="single" w:sz="2" w:space="0" w:color="auto"/>
            </w:tcBorders>
            <w:vAlign w:val="center"/>
          </w:tcPr>
          <w:p w14:paraId="314DCC07"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53,950,487.90</w:t>
            </w:r>
          </w:p>
        </w:tc>
        <w:tc>
          <w:tcPr>
            <w:tcW w:w="1928" w:type="dxa"/>
            <w:tcBorders>
              <w:top w:val="single" w:sz="2" w:space="0" w:color="auto"/>
              <w:left w:val="single" w:sz="2" w:space="0" w:color="auto"/>
              <w:bottom w:val="single" w:sz="2" w:space="0" w:color="auto"/>
              <w:right w:val="single" w:sz="2" w:space="0" w:color="auto"/>
            </w:tcBorders>
            <w:vAlign w:val="center"/>
          </w:tcPr>
          <w:p w14:paraId="1099035C"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33,632,662.73</w:t>
            </w:r>
          </w:p>
        </w:tc>
        <w:tc>
          <w:tcPr>
            <w:tcW w:w="1928" w:type="dxa"/>
            <w:tcBorders>
              <w:top w:val="single" w:sz="2" w:space="0" w:color="auto"/>
              <w:left w:val="single" w:sz="2" w:space="0" w:color="auto"/>
              <w:bottom w:val="single" w:sz="2" w:space="0" w:color="auto"/>
              <w:right w:val="single" w:sz="2" w:space="0" w:color="auto"/>
            </w:tcBorders>
            <w:vAlign w:val="center"/>
          </w:tcPr>
          <w:p w14:paraId="59229997"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60.41%</w:t>
            </w:r>
          </w:p>
        </w:tc>
        <w:tc>
          <w:tcPr>
            <w:tcW w:w="1928" w:type="dxa"/>
            <w:tcBorders>
              <w:top w:val="single" w:sz="2" w:space="0" w:color="auto"/>
              <w:left w:val="single" w:sz="2" w:space="0" w:color="auto"/>
              <w:bottom w:val="single" w:sz="2" w:space="0" w:color="auto"/>
              <w:right w:val="single" w:sz="2" w:space="0" w:color="auto"/>
            </w:tcBorders>
            <w:vAlign w:val="center"/>
          </w:tcPr>
          <w:p w14:paraId="1F6B2666"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33,961,121.46</w:t>
            </w:r>
          </w:p>
        </w:tc>
      </w:tr>
      <w:tr w:rsidR="005F07DD" w:rsidRPr="00324D80" w14:paraId="2A1E10B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09F9E81"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归属于上市公司股东的扣除非经常性损益的净利润</w:t>
            </w:r>
          </w:p>
        </w:tc>
        <w:tc>
          <w:tcPr>
            <w:tcW w:w="1928" w:type="dxa"/>
            <w:tcBorders>
              <w:top w:val="single" w:sz="2" w:space="0" w:color="auto"/>
              <w:left w:val="single" w:sz="2" w:space="0" w:color="auto"/>
              <w:bottom w:val="single" w:sz="2" w:space="0" w:color="auto"/>
              <w:right w:val="single" w:sz="2" w:space="0" w:color="auto"/>
            </w:tcBorders>
            <w:vAlign w:val="center"/>
          </w:tcPr>
          <w:p w14:paraId="46908784"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32,280,786.78</w:t>
            </w:r>
          </w:p>
        </w:tc>
        <w:tc>
          <w:tcPr>
            <w:tcW w:w="1928" w:type="dxa"/>
            <w:tcBorders>
              <w:top w:val="single" w:sz="2" w:space="0" w:color="auto"/>
              <w:left w:val="single" w:sz="2" w:space="0" w:color="auto"/>
              <w:bottom w:val="single" w:sz="2" w:space="0" w:color="auto"/>
              <w:right w:val="single" w:sz="2" w:space="0" w:color="auto"/>
            </w:tcBorders>
            <w:vAlign w:val="center"/>
          </w:tcPr>
          <w:p w14:paraId="31ABA5D3"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21,852,302.39</w:t>
            </w:r>
          </w:p>
        </w:tc>
        <w:tc>
          <w:tcPr>
            <w:tcW w:w="1928" w:type="dxa"/>
            <w:tcBorders>
              <w:top w:val="single" w:sz="2" w:space="0" w:color="auto"/>
              <w:left w:val="single" w:sz="2" w:space="0" w:color="auto"/>
              <w:bottom w:val="single" w:sz="2" w:space="0" w:color="auto"/>
              <w:right w:val="single" w:sz="2" w:space="0" w:color="auto"/>
            </w:tcBorders>
            <w:vAlign w:val="center"/>
          </w:tcPr>
          <w:p w14:paraId="21056573"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47.72%</w:t>
            </w:r>
          </w:p>
        </w:tc>
        <w:tc>
          <w:tcPr>
            <w:tcW w:w="1928" w:type="dxa"/>
            <w:tcBorders>
              <w:top w:val="single" w:sz="2" w:space="0" w:color="auto"/>
              <w:left w:val="single" w:sz="2" w:space="0" w:color="auto"/>
              <w:bottom w:val="single" w:sz="2" w:space="0" w:color="auto"/>
              <w:right w:val="single" w:sz="2" w:space="0" w:color="auto"/>
            </w:tcBorders>
            <w:vAlign w:val="center"/>
          </w:tcPr>
          <w:p w14:paraId="67119F6D"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27,027,776.43</w:t>
            </w:r>
          </w:p>
        </w:tc>
      </w:tr>
      <w:tr w:rsidR="005F07DD" w:rsidRPr="00324D80" w14:paraId="0EA9F39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E73D01C"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经营活动产生的现金流量净额</w:t>
            </w:r>
          </w:p>
        </w:tc>
        <w:tc>
          <w:tcPr>
            <w:tcW w:w="1928" w:type="dxa"/>
            <w:tcBorders>
              <w:top w:val="single" w:sz="2" w:space="0" w:color="auto"/>
              <w:left w:val="single" w:sz="2" w:space="0" w:color="auto"/>
              <w:bottom w:val="single" w:sz="2" w:space="0" w:color="auto"/>
              <w:right w:val="single" w:sz="2" w:space="0" w:color="auto"/>
            </w:tcBorders>
            <w:vAlign w:val="center"/>
          </w:tcPr>
          <w:p w14:paraId="1C03B2A4"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135,997,190.02</w:t>
            </w:r>
          </w:p>
        </w:tc>
        <w:tc>
          <w:tcPr>
            <w:tcW w:w="1928" w:type="dxa"/>
            <w:tcBorders>
              <w:top w:val="single" w:sz="2" w:space="0" w:color="auto"/>
              <w:left w:val="single" w:sz="2" w:space="0" w:color="auto"/>
              <w:bottom w:val="single" w:sz="2" w:space="0" w:color="auto"/>
              <w:right w:val="single" w:sz="2" w:space="0" w:color="auto"/>
            </w:tcBorders>
            <w:vAlign w:val="center"/>
          </w:tcPr>
          <w:p w14:paraId="54E909B4"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49,726,262.87</w:t>
            </w:r>
          </w:p>
        </w:tc>
        <w:tc>
          <w:tcPr>
            <w:tcW w:w="1928" w:type="dxa"/>
            <w:tcBorders>
              <w:top w:val="single" w:sz="2" w:space="0" w:color="auto"/>
              <w:left w:val="single" w:sz="2" w:space="0" w:color="auto"/>
              <w:bottom w:val="single" w:sz="2" w:space="0" w:color="auto"/>
              <w:right w:val="single" w:sz="2" w:space="0" w:color="auto"/>
            </w:tcBorders>
            <w:vAlign w:val="center"/>
          </w:tcPr>
          <w:p w14:paraId="0B262D37"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173.49%</w:t>
            </w:r>
          </w:p>
        </w:tc>
        <w:tc>
          <w:tcPr>
            <w:tcW w:w="1928" w:type="dxa"/>
            <w:tcBorders>
              <w:top w:val="single" w:sz="2" w:space="0" w:color="auto"/>
              <w:left w:val="single" w:sz="2" w:space="0" w:color="auto"/>
              <w:bottom w:val="single" w:sz="2" w:space="0" w:color="auto"/>
              <w:right w:val="single" w:sz="2" w:space="0" w:color="auto"/>
            </w:tcBorders>
            <w:vAlign w:val="center"/>
          </w:tcPr>
          <w:p w14:paraId="52A13CE5"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203,181,094.09</w:t>
            </w:r>
          </w:p>
        </w:tc>
      </w:tr>
      <w:tr w:rsidR="005F07DD" w:rsidRPr="00324D80" w14:paraId="291CF4D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8F28587"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基本每股收益（元/股）</w:t>
            </w:r>
          </w:p>
        </w:tc>
        <w:tc>
          <w:tcPr>
            <w:tcW w:w="1928" w:type="dxa"/>
            <w:tcBorders>
              <w:top w:val="single" w:sz="2" w:space="0" w:color="auto"/>
              <w:left w:val="single" w:sz="2" w:space="0" w:color="auto"/>
              <w:bottom w:val="single" w:sz="2" w:space="0" w:color="auto"/>
              <w:right w:val="single" w:sz="2" w:space="0" w:color="auto"/>
            </w:tcBorders>
            <w:vAlign w:val="center"/>
          </w:tcPr>
          <w:p w14:paraId="7AF9632E"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0.24</w:t>
            </w:r>
          </w:p>
        </w:tc>
        <w:tc>
          <w:tcPr>
            <w:tcW w:w="1928" w:type="dxa"/>
            <w:tcBorders>
              <w:top w:val="single" w:sz="2" w:space="0" w:color="auto"/>
              <w:left w:val="single" w:sz="2" w:space="0" w:color="auto"/>
              <w:bottom w:val="single" w:sz="2" w:space="0" w:color="auto"/>
              <w:right w:val="single" w:sz="2" w:space="0" w:color="auto"/>
            </w:tcBorders>
            <w:vAlign w:val="center"/>
          </w:tcPr>
          <w:p w14:paraId="4C5EE56E"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0.15</w:t>
            </w:r>
          </w:p>
        </w:tc>
        <w:tc>
          <w:tcPr>
            <w:tcW w:w="1928" w:type="dxa"/>
            <w:tcBorders>
              <w:top w:val="single" w:sz="2" w:space="0" w:color="auto"/>
              <w:left w:val="single" w:sz="2" w:space="0" w:color="auto"/>
              <w:bottom w:val="single" w:sz="2" w:space="0" w:color="auto"/>
              <w:right w:val="single" w:sz="2" w:space="0" w:color="auto"/>
            </w:tcBorders>
            <w:vAlign w:val="center"/>
          </w:tcPr>
          <w:p w14:paraId="6F948167"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60.00%</w:t>
            </w:r>
          </w:p>
        </w:tc>
        <w:tc>
          <w:tcPr>
            <w:tcW w:w="1928" w:type="dxa"/>
            <w:tcBorders>
              <w:top w:val="single" w:sz="2" w:space="0" w:color="auto"/>
              <w:left w:val="single" w:sz="2" w:space="0" w:color="auto"/>
              <w:bottom w:val="single" w:sz="2" w:space="0" w:color="auto"/>
              <w:right w:val="single" w:sz="2" w:space="0" w:color="auto"/>
            </w:tcBorders>
            <w:vAlign w:val="center"/>
          </w:tcPr>
          <w:p w14:paraId="2F354175"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0.1500</w:t>
            </w:r>
          </w:p>
        </w:tc>
      </w:tr>
      <w:tr w:rsidR="005F07DD" w:rsidRPr="00324D80" w14:paraId="387E623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6EA36BF"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稀释每股收益（元/股）</w:t>
            </w:r>
          </w:p>
        </w:tc>
        <w:tc>
          <w:tcPr>
            <w:tcW w:w="1928" w:type="dxa"/>
            <w:tcBorders>
              <w:top w:val="single" w:sz="2" w:space="0" w:color="auto"/>
              <w:left w:val="single" w:sz="2" w:space="0" w:color="auto"/>
              <w:bottom w:val="single" w:sz="2" w:space="0" w:color="auto"/>
              <w:right w:val="single" w:sz="2" w:space="0" w:color="auto"/>
            </w:tcBorders>
            <w:vAlign w:val="center"/>
          </w:tcPr>
          <w:p w14:paraId="72431846"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0.24</w:t>
            </w:r>
          </w:p>
        </w:tc>
        <w:tc>
          <w:tcPr>
            <w:tcW w:w="1928" w:type="dxa"/>
            <w:tcBorders>
              <w:top w:val="single" w:sz="2" w:space="0" w:color="auto"/>
              <w:left w:val="single" w:sz="2" w:space="0" w:color="auto"/>
              <w:bottom w:val="single" w:sz="2" w:space="0" w:color="auto"/>
              <w:right w:val="single" w:sz="2" w:space="0" w:color="auto"/>
            </w:tcBorders>
            <w:vAlign w:val="center"/>
          </w:tcPr>
          <w:p w14:paraId="13071BEF"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0.15</w:t>
            </w:r>
          </w:p>
        </w:tc>
        <w:tc>
          <w:tcPr>
            <w:tcW w:w="1928" w:type="dxa"/>
            <w:tcBorders>
              <w:top w:val="single" w:sz="2" w:space="0" w:color="auto"/>
              <w:left w:val="single" w:sz="2" w:space="0" w:color="auto"/>
              <w:bottom w:val="single" w:sz="2" w:space="0" w:color="auto"/>
              <w:right w:val="single" w:sz="2" w:space="0" w:color="auto"/>
            </w:tcBorders>
            <w:vAlign w:val="center"/>
          </w:tcPr>
          <w:p w14:paraId="12C765E3"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60.00%</w:t>
            </w:r>
          </w:p>
        </w:tc>
        <w:tc>
          <w:tcPr>
            <w:tcW w:w="1928" w:type="dxa"/>
            <w:tcBorders>
              <w:top w:val="single" w:sz="2" w:space="0" w:color="auto"/>
              <w:left w:val="single" w:sz="2" w:space="0" w:color="auto"/>
              <w:bottom w:val="single" w:sz="2" w:space="0" w:color="auto"/>
              <w:right w:val="single" w:sz="2" w:space="0" w:color="auto"/>
            </w:tcBorders>
            <w:vAlign w:val="center"/>
          </w:tcPr>
          <w:p w14:paraId="069C6293"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0.1500</w:t>
            </w:r>
          </w:p>
        </w:tc>
      </w:tr>
      <w:tr w:rsidR="005F07DD" w:rsidRPr="00324D80" w14:paraId="4E759D9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38AB663"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加权平均净资产收益率</w:t>
            </w:r>
          </w:p>
        </w:tc>
        <w:tc>
          <w:tcPr>
            <w:tcW w:w="1928" w:type="dxa"/>
            <w:tcBorders>
              <w:top w:val="single" w:sz="2" w:space="0" w:color="auto"/>
              <w:left w:val="single" w:sz="2" w:space="0" w:color="auto"/>
              <w:bottom w:val="single" w:sz="2" w:space="0" w:color="auto"/>
              <w:right w:val="single" w:sz="2" w:space="0" w:color="auto"/>
            </w:tcBorders>
            <w:vAlign w:val="center"/>
          </w:tcPr>
          <w:p w14:paraId="5B83EF12"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4.07%</w:t>
            </w:r>
          </w:p>
        </w:tc>
        <w:tc>
          <w:tcPr>
            <w:tcW w:w="1928" w:type="dxa"/>
            <w:tcBorders>
              <w:top w:val="single" w:sz="2" w:space="0" w:color="auto"/>
              <w:left w:val="single" w:sz="2" w:space="0" w:color="auto"/>
              <w:bottom w:val="single" w:sz="2" w:space="0" w:color="auto"/>
              <w:right w:val="single" w:sz="2" w:space="0" w:color="auto"/>
            </w:tcBorders>
            <w:vAlign w:val="center"/>
          </w:tcPr>
          <w:p w14:paraId="6F777016"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2.61%</w:t>
            </w:r>
          </w:p>
        </w:tc>
        <w:tc>
          <w:tcPr>
            <w:tcW w:w="1928" w:type="dxa"/>
            <w:tcBorders>
              <w:top w:val="single" w:sz="2" w:space="0" w:color="auto"/>
              <w:left w:val="single" w:sz="2" w:space="0" w:color="auto"/>
              <w:bottom w:val="single" w:sz="2" w:space="0" w:color="auto"/>
              <w:right w:val="single" w:sz="2" w:space="0" w:color="auto"/>
            </w:tcBorders>
            <w:vAlign w:val="center"/>
          </w:tcPr>
          <w:p w14:paraId="5413E112"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1.46%</w:t>
            </w:r>
          </w:p>
        </w:tc>
        <w:tc>
          <w:tcPr>
            <w:tcW w:w="1928" w:type="dxa"/>
            <w:tcBorders>
              <w:top w:val="single" w:sz="2" w:space="0" w:color="auto"/>
              <w:left w:val="single" w:sz="2" w:space="0" w:color="auto"/>
              <w:bottom w:val="single" w:sz="2" w:space="0" w:color="auto"/>
              <w:right w:val="single" w:sz="2" w:space="0" w:color="auto"/>
            </w:tcBorders>
            <w:vAlign w:val="center"/>
          </w:tcPr>
          <w:p w14:paraId="19AE4ABB"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2.70%</w:t>
            </w:r>
          </w:p>
        </w:tc>
      </w:tr>
    </w:tbl>
    <w:p w14:paraId="112B3912" w14:textId="77777777" w:rsidR="005F07DD" w:rsidRPr="00324D80" w:rsidRDefault="00367185">
      <w:pPr>
        <w:keepNext/>
        <w:keepLines/>
        <w:spacing w:before="300" w:after="300" w:line="280" w:lineRule="exact"/>
        <w:outlineLvl w:val="3"/>
        <w:rPr>
          <w:rFonts w:ascii="宋体" w:eastAsia="宋体" w:hAnsi="宋体" w:cs="宋体" w:hint="eastAsia"/>
          <w:b/>
          <w:bCs/>
          <w:sz w:val="18"/>
          <w:szCs w:val="18"/>
        </w:rPr>
      </w:pPr>
      <w:bookmarkStart w:id="6" w:name="_Toc988895"/>
      <w:r w:rsidRPr="00324D80">
        <w:rPr>
          <w:rFonts w:ascii="宋体" w:eastAsia="宋体" w:hAnsi="宋体" w:cs="宋体"/>
          <w:b/>
          <w:bCs/>
          <w:sz w:val="18"/>
          <w:szCs w:val="18"/>
        </w:rPr>
        <w:t>（2） 分季度主要会计数据</w:t>
      </w:r>
      <w:bookmarkEnd w:id="6"/>
    </w:p>
    <w:p w14:paraId="42391625" w14:textId="77777777" w:rsidR="005F07DD" w:rsidRPr="00324D80" w:rsidRDefault="00367185">
      <w:pPr>
        <w:spacing w:before="120" w:after="120" w:line="240" w:lineRule="exact"/>
        <w:jc w:val="right"/>
        <w:rPr>
          <w:rFonts w:ascii="宋体" w:eastAsia="宋体" w:hAnsi="宋体" w:cs="宋体" w:hint="eastAsia"/>
          <w:sz w:val="18"/>
          <w:szCs w:val="18"/>
        </w:rPr>
      </w:pPr>
      <w:r w:rsidRPr="00324D80">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5F07DD" w:rsidRPr="00324D80" w14:paraId="0229219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3136289" w14:textId="77777777" w:rsidR="005F07DD" w:rsidRPr="00324D80" w:rsidRDefault="005F07DD">
            <w:pPr>
              <w:rPr>
                <w:rFonts w:ascii="宋体" w:eastAsia="宋体" w:hAnsi="宋体"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9B7D41F"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第一季度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C51857F"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第二季度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E7B49FB"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第三季度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AD1EACB"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第四季度</w:t>
            </w:r>
          </w:p>
        </w:tc>
      </w:tr>
      <w:tr w:rsidR="005F07DD" w:rsidRPr="00324D80" w14:paraId="48F13FE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EFAB8BB"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营业收入</w:t>
            </w:r>
          </w:p>
        </w:tc>
        <w:tc>
          <w:tcPr>
            <w:tcW w:w="1928" w:type="dxa"/>
            <w:tcBorders>
              <w:top w:val="single" w:sz="2" w:space="0" w:color="auto"/>
              <w:left w:val="single" w:sz="2" w:space="0" w:color="auto"/>
              <w:bottom w:val="single" w:sz="2" w:space="0" w:color="auto"/>
              <w:right w:val="single" w:sz="2" w:space="0" w:color="auto"/>
            </w:tcBorders>
            <w:vAlign w:val="center"/>
          </w:tcPr>
          <w:p w14:paraId="738DC915"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365,361,938.71</w:t>
            </w:r>
          </w:p>
        </w:tc>
        <w:tc>
          <w:tcPr>
            <w:tcW w:w="1928" w:type="dxa"/>
            <w:tcBorders>
              <w:top w:val="single" w:sz="2" w:space="0" w:color="auto"/>
              <w:left w:val="single" w:sz="2" w:space="0" w:color="auto"/>
              <w:bottom w:val="single" w:sz="2" w:space="0" w:color="auto"/>
              <w:right w:val="single" w:sz="2" w:space="0" w:color="auto"/>
            </w:tcBorders>
            <w:vAlign w:val="center"/>
          </w:tcPr>
          <w:p w14:paraId="216811CF"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428,749,798.24</w:t>
            </w:r>
          </w:p>
        </w:tc>
        <w:tc>
          <w:tcPr>
            <w:tcW w:w="1928" w:type="dxa"/>
            <w:tcBorders>
              <w:top w:val="single" w:sz="2" w:space="0" w:color="auto"/>
              <w:left w:val="single" w:sz="2" w:space="0" w:color="auto"/>
              <w:bottom w:val="single" w:sz="2" w:space="0" w:color="auto"/>
              <w:right w:val="single" w:sz="2" w:space="0" w:color="auto"/>
            </w:tcBorders>
            <w:vAlign w:val="center"/>
          </w:tcPr>
          <w:p w14:paraId="307FEA52"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496,588,435.67</w:t>
            </w:r>
          </w:p>
        </w:tc>
        <w:tc>
          <w:tcPr>
            <w:tcW w:w="1928" w:type="dxa"/>
            <w:tcBorders>
              <w:top w:val="single" w:sz="2" w:space="0" w:color="auto"/>
              <w:left w:val="single" w:sz="2" w:space="0" w:color="auto"/>
              <w:bottom w:val="single" w:sz="2" w:space="0" w:color="auto"/>
              <w:right w:val="single" w:sz="2" w:space="0" w:color="auto"/>
            </w:tcBorders>
            <w:vAlign w:val="center"/>
          </w:tcPr>
          <w:p w14:paraId="364D2781"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362,436,969.01</w:t>
            </w:r>
          </w:p>
        </w:tc>
      </w:tr>
      <w:tr w:rsidR="005F07DD" w:rsidRPr="00324D80" w14:paraId="0AE8D5B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A2E4C8C"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归属于上市公司股东的净利润</w:t>
            </w:r>
          </w:p>
        </w:tc>
        <w:tc>
          <w:tcPr>
            <w:tcW w:w="1928" w:type="dxa"/>
            <w:tcBorders>
              <w:top w:val="single" w:sz="2" w:space="0" w:color="auto"/>
              <w:left w:val="single" w:sz="2" w:space="0" w:color="auto"/>
              <w:bottom w:val="single" w:sz="2" w:space="0" w:color="auto"/>
              <w:right w:val="single" w:sz="2" w:space="0" w:color="auto"/>
            </w:tcBorders>
            <w:vAlign w:val="center"/>
          </w:tcPr>
          <w:p w14:paraId="0D3B94D1"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27,089,639.67</w:t>
            </w:r>
          </w:p>
        </w:tc>
        <w:tc>
          <w:tcPr>
            <w:tcW w:w="1928" w:type="dxa"/>
            <w:tcBorders>
              <w:top w:val="single" w:sz="2" w:space="0" w:color="auto"/>
              <w:left w:val="single" w:sz="2" w:space="0" w:color="auto"/>
              <w:bottom w:val="single" w:sz="2" w:space="0" w:color="auto"/>
              <w:right w:val="single" w:sz="2" w:space="0" w:color="auto"/>
            </w:tcBorders>
            <w:vAlign w:val="center"/>
          </w:tcPr>
          <w:p w14:paraId="41C8D65D"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24,875,430.76</w:t>
            </w:r>
          </w:p>
        </w:tc>
        <w:tc>
          <w:tcPr>
            <w:tcW w:w="1928" w:type="dxa"/>
            <w:tcBorders>
              <w:top w:val="single" w:sz="2" w:space="0" w:color="auto"/>
              <w:left w:val="single" w:sz="2" w:space="0" w:color="auto"/>
              <w:bottom w:val="single" w:sz="2" w:space="0" w:color="auto"/>
              <w:right w:val="single" w:sz="2" w:space="0" w:color="auto"/>
            </w:tcBorders>
            <w:vAlign w:val="center"/>
          </w:tcPr>
          <w:p w14:paraId="50D48FB7"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19,631,401.45</w:t>
            </w:r>
          </w:p>
        </w:tc>
        <w:tc>
          <w:tcPr>
            <w:tcW w:w="1928" w:type="dxa"/>
            <w:tcBorders>
              <w:top w:val="single" w:sz="2" w:space="0" w:color="auto"/>
              <w:left w:val="single" w:sz="2" w:space="0" w:color="auto"/>
              <w:bottom w:val="single" w:sz="2" w:space="0" w:color="auto"/>
              <w:right w:val="single" w:sz="2" w:space="0" w:color="auto"/>
            </w:tcBorders>
            <w:vAlign w:val="center"/>
          </w:tcPr>
          <w:p w14:paraId="059A48D5"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-17,645,983.98</w:t>
            </w:r>
          </w:p>
        </w:tc>
      </w:tr>
      <w:tr w:rsidR="005F07DD" w:rsidRPr="00324D80" w14:paraId="63F4023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15AB7A0"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归属于上市公司股东的扣除非经常性损益的净利润</w:t>
            </w:r>
          </w:p>
        </w:tc>
        <w:tc>
          <w:tcPr>
            <w:tcW w:w="1928" w:type="dxa"/>
            <w:tcBorders>
              <w:top w:val="single" w:sz="2" w:space="0" w:color="auto"/>
              <w:left w:val="single" w:sz="2" w:space="0" w:color="auto"/>
              <w:bottom w:val="single" w:sz="2" w:space="0" w:color="auto"/>
              <w:right w:val="single" w:sz="2" w:space="0" w:color="auto"/>
            </w:tcBorders>
            <w:vAlign w:val="center"/>
          </w:tcPr>
          <w:p w14:paraId="3043442D"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26,969,674.49</w:t>
            </w:r>
          </w:p>
        </w:tc>
        <w:tc>
          <w:tcPr>
            <w:tcW w:w="1928" w:type="dxa"/>
            <w:tcBorders>
              <w:top w:val="single" w:sz="2" w:space="0" w:color="auto"/>
              <w:left w:val="single" w:sz="2" w:space="0" w:color="auto"/>
              <w:bottom w:val="single" w:sz="2" w:space="0" w:color="auto"/>
              <w:right w:val="single" w:sz="2" w:space="0" w:color="auto"/>
            </w:tcBorders>
            <w:vAlign w:val="center"/>
          </w:tcPr>
          <w:p w14:paraId="1F9B3E07"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23,559,730.74</w:t>
            </w:r>
          </w:p>
        </w:tc>
        <w:tc>
          <w:tcPr>
            <w:tcW w:w="1928" w:type="dxa"/>
            <w:tcBorders>
              <w:top w:val="single" w:sz="2" w:space="0" w:color="auto"/>
              <w:left w:val="single" w:sz="2" w:space="0" w:color="auto"/>
              <w:bottom w:val="single" w:sz="2" w:space="0" w:color="auto"/>
              <w:right w:val="single" w:sz="2" w:space="0" w:color="auto"/>
            </w:tcBorders>
            <w:vAlign w:val="center"/>
          </w:tcPr>
          <w:p w14:paraId="21A7578E"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18,658,155.91</w:t>
            </w:r>
          </w:p>
        </w:tc>
        <w:tc>
          <w:tcPr>
            <w:tcW w:w="1928" w:type="dxa"/>
            <w:tcBorders>
              <w:top w:val="single" w:sz="2" w:space="0" w:color="auto"/>
              <w:left w:val="single" w:sz="2" w:space="0" w:color="auto"/>
              <w:bottom w:val="single" w:sz="2" w:space="0" w:color="auto"/>
              <w:right w:val="single" w:sz="2" w:space="0" w:color="auto"/>
            </w:tcBorders>
            <w:vAlign w:val="center"/>
          </w:tcPr>
          <w:p w14:paraId="2BD6A13A"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-36,906,774.36</w:t>
            </w:r>
          </w:p>
        </w:tc>
      </w:tr>
      <w:tr w:rsidR="005F07DD" w:rsidRPr="00324D80" w14:paraId="72F9124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305D126"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经营活动产生的现金流量净额</w:t>
            </w:r>
          </w:p>
        </w:tc>
        <w:tc>
          <w:tcPr>
            <w:tcW w:w="1928" w:type="dxa"/>
            <w:tcBorders>
              <w:top w:val="single" w:sz="2" w:space="0" w:color="auto"/>
              <w:left w:val="single" w:sz="2" w:space="0" w:color="auto"/>
              <w:bottom w:val="single" w:sz="2" w:space="0" w:color="auto"/>
              <w:right w:val="single" w:sz="2" w:space="0" w:color="auto"/>
            </w:tcBorders>
            <w:vAlign w:val="center"/>
          </w:tcPr>
          <w:p w14:paraId="31355820"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-46,315,515.88</w:t>
            </w:r>
          </w:p>
        </w:tc>
        <w:tc>
          <w:tcPr>
            <w:tcW w:w="1928" w:type="dxa"/>
            <w:tcBorders>
              <w:top w:val="single" w:sz="2" w:space="0" w:color="auto"/>
              <w:left w:val="single" w:sz="2" w:space="0" w:color="auto"/>
              <w:bottom w:val="single" w:sz="2" w:space="0" w:color="auto"/>
              <w:right w:val="single" w:sz="2" w:space="0" w:color="auto"/>
            </w:tcBorders>
            <w:vAlign w:val="center"/>
          </w:tcPr>
          <w:p w14:paraId="66829BBD"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-4,487,480.30</w:t>
            </w:r>
          </w:p>
        </w:tc>
        <w:tc>
          <w:tcPr>
            <w:tcW w:w="1928" w:type="dxa"/>
            <w:tcBorders>
              <w:top w:val="single" w:sz="2" w:space="0" w:color="auto"/>
              <w:left w:val="single" w:sz="2" w:space="0" w:color="auto"/>
              <w:bottom w:val="single" w:sz="2" w:space="0" w:color="auto"/>
              <w:right w:val="single" w:sz="2" w:space="0" w:color="auto"/>
            </w:tcBorders>
            <w:vAlign w:val="center"/>
          </w:tcPr>
          <w:p w14:paraId="3B9D92E1"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5,274,608.49</w:t>
            </w:r>
          </w:p>
        </w:tc>
        <w:tc>
          <w:tcPr>
            <w:tcW w:w="1928" w:type="dxa"/>
            <w:tcBorders>
              <w:top w:val="single" w:sz="2" w:space="0" w:color="auto"/>
              <w:left w:val="single" w:sz="2" w:space="0" w:color="auto"/>
              <w:bottom w:val="single" w:sz="2" w:space="0" w:color="auto"/>
              <w:right w:val="single" w:sz="2" w:space="0" w:color="auto"/>
            </w:tcBorders>
            <w:vAlign w:val="center"/>
          </w:tcPr>
          <w:p w14:paraId="271886D3"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181,525,577.71</w:t>
            </w:r>
          </w:p>
        </w:tc>
      </w:tr>
    </w:tbl>
    <w:p w14:paraId="583E645D"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上述财务指标或其加总数是否与公司已披露季度报告、半年度报告相关财务指标存在重大差异</w:t>
      </w:r>
    </w:p>
    <w:p w14:paraId="6C9D1D52"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 xml:space="preserve">□是 </w:t>
      </w:r>
      <w:r w:rsidRPr="00324D80">
        <w:rPr>
          <w:rFonts w:ascii="宋体" w:eastAsia="宋体" w:hAnsi="宋体" w:cs="宋体"/>
          <w:sz w:val="18"/>
          <w:szCs w:val="18"/>
        </w:rPr>
        <w:sym w:font="Wingdings 2" w:char="F052"/>
      </w:r>
      <w:r w:rsidRPr="00324D80">
        <w:rPr>
          <w:rFonts w:ascii="宋体" w:eastAsia="宋体" w:hAnsi="宋体" w:cs="宋体"/>
          <w:sz w:val="18"/>
          <w:szCs w:val="18"/>
        </w:rPr>
        <w:t>否</w:t>
      </w:r>
    </w:p>
    <w:p w14:paraId="627AD550" w14:textId="77777777" w:rsidR="005F07DD" w:rsidRPr="00324D80" w:rsidRDefault="00367185">
      <w:pPr>
        <w:pStyle w:val="3"/>
        <w:spacing w:line="280" w:lineRule="exact"/>
        <w:jc w:val="left"/>
        <w:rPr>
          <w:rFonts w:ascii="宋体" w:hAnsi="宋体" w:cs="宋体" w:hint="eastAsia"/>
          <w:b/>
          <w:bCs/>
        </w:rPr>
      </w:pPr>
      <w:bookmarkStart w:id="7" w:name="_Toc988896"/>
      <w:r w:rsidRPr="00324D80">
        <w:rPr>
          <w:rFonts w:ascii="宋体" w:hAnsi="宋体" w:cs="宋体"/>
          <w:b/>
          <w:bCs/>
        </w:rPr>
        <w:t>4、股本及股东情况</w:t>
      </w:r>
      <w:bookmarkEnd w:id="7"/>
    </w:p>
    <w:p w14:paraId="1D564817" w14:textId="77777777" w:rsidR="005F07DD" w:rsidRPr="00324D80" w:rsidRDefault="00367185">
      <w:pPr>
        <w:keepNext/>
        <w:keepLines/>
        <w:spacing w:before="300" w:after="300" w:line="280" w:lineRule="exact"/>
        <w:outlineLvl w:val="3"/>
        <w:rPr>
          <w:rFonts w:ascii="宋体" w:eastAsia="宋体" w:hAnsi="宋体" w:cs="宋体" w:hint="eastAsia"/>
          <w:b/>
          <w:bCs/>
          <w:sz w:val="18"/>
          <w:szCs w:val="18"/>
        </w:rPr>
      </w:pPr>
      <w:bookmarkStart w:id="8" w:name="_Toc988897"/>
      <w:r w:rsidRPr="00324D80">
        <w:rPr>
          <w:rFonts w:ascii="宋体" w:eastAsia="宋体" w:hAnsi="宋体" w:cs="宋体"/>
          <w:b/>
          <w:bCs/>
          <w:sz w:val="18"/>
          <w:szCs w:val="18"/>
        </w:rPr>
        <w:t>（1） 普通股股东和表决权恢复的优先股股东数量及前10名股东持股情况表</w:t>
      </w:r>
      <w:bookmarkEnd w:id="8"/>
    </w:p>
    <w:p w14:paraId="12184EA9" w14:textId="77777777" w:rsidR="005F07DD" w:rsidRPr="00324D80" w:rsidRDefault="00367185">
      <w:pPr>
        <w:spacing w:before="40" w:after="40" w:line="240" w:lineRule="exact"/>
        <w:jc w:val="right"/>
        <w:rPr>
          <w:rFonts w:ascii="宋体" w:eastAsia="宋体" w:hAnsi="宋体" w:cs="宋体" w:hint="eastAsia"/>
          <w:sz w:val="18"/>
          <w:szCs w:val="18"/>
        </w:rPr>
      </w:pPr>
      <w:r w:rsidRPr="00324D80">
        <w:rPr>
          <w:rFonts w:ascii="宋体" w:eastAsia="宋体" w:hAnsi="宋体" w:cs="宋体"/>
          <w:sz w:val="18"/>
          <w:szCs w:val="18"/>
        </w:rPr>
        <w:t>单位：股</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5F07DD" w:rsidRPr="00324D80" w14:paraId="7092B12F"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98E54A1"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报告期末普通股股东总数</w:t>
            </w:r>
          </w:p>
        </w:tc>
        <w:tc>
          <w:tcPr>
            <w:tcW w:w="1071" w:type="dxa"/>
            <w:tcBorders>
              <w:top w:val="single" w:sz="2" w:space="0" w:color="auto"/>
              <w:left w:val="single" w:sz="2" w:space="0" w:color="auto"/>
              <w:bottom w:val="single" w:sz="2" w:space="0" w:color="auto"/>
              <w:right w:val="single" w:sz="2" w:space="0" w:color="auto"/>
            </w:tcBorders>
            <w:vAlign w:val="center"/>
          </w:tcPr>
          <w:p w14:paraId="745176E8"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19,712</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44B9AFD"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年度报告披露日前一个月末普通股股东总数</w:t>
            </w:r>
          </w:p>
        </w:tc>
        <w:tc>
          <w:tcPr>
            <w:tcW w:w="1071" w:type="dxa"/>
            <w:tcBorders>
              <w:top w:val="single" w:sz="2" w:space="0" w:color="auto"/>
              <w:left w:val="single" w:sz="2" w:space="0" w:color="auto"/>
              <w:bottom w:val="single" w:sz="2" w:space="0" w:color="auto"/>
              <w:right w:val="single" w:sz="2" w:space="0" w:color="auto"/>
            </w:tcBorders>
            <w:vAlign w:val="center"/>
          </w:tcPr>
          <w:p w14:paraId="1385CDBB"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11,763</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F322F1E"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报告期末表决权恢复的优先股股东总数</w:t>
            </w:r>
          </w:p>
        </w:tc>
        <w:tc>
          <w:tcPr>
            <w:tcW w:w="1071" w:type="dxa"/>
            <w:tcBorders>
              <w:top w:val="single" w:sz="2" w:space="0" w:color="auto"/>
              <w:left w:val="single" w:sz="2" w:space="0" w:color="auto"/>
              <w:bottom w:val="single" w:sz="2" w:space="0" w:color="auto"/>
              <w:right w:val="single" w:sz="2" w:space="0" w:color="auto"/>
            </w:tcBorders>
            <w:vAlign w:val="center"/>
          </w:tcPr>
          <w:p w14:paraId="13463D82"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8B27321"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年度报告披露日前一个月末表决权恢复的优先股股东总数</w:t>
            </w:r>
          </w:p>
        </w:tc>
        <w:tc>
          <w:tcPr>
            <w:tcW w:w="1071" w:type="dxa"/>
            <w:tcBorders>
              <w:top w:val="single" w:sz="2" w:space="0" w:color="auto"/>
              <w:left w:val="single" w:sz="2" w:space="0" w:color="auto"/>
              <w:bottom w:val="single" w:sz="2" w:space="0" w:color="auto"/>
              <w:right w:val="single" w:sz="2" w:space="0" w:color="auto"/>
            </w:tcBorders>
            <w:vAlign w:val="center"/>
          </w:tcPr>
          <w:p w14:paraId="40F776BB"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r>
      <w:tr w:rsidR="005F07DD" w:rsidRPr="00324D80" w14:paraId="25AB3DDB" w14:textId="77777777">
        <w:trPr>
          <w:trHeight w:val="240"/>
        </w:trPr>
        <w:tc>
          <w:tcPr>
            <w:tcW w:w="9639" w:type="dxa"/>
            <w:gridSpan w:val="9"/>
            <w:tcBorders>
              <w:top w:val="single" w:sz="2" w:space="0" w:color="auto"/>
              <w:left w:val="single" w:sz="2" w:space="0" w:color="auto"/>
              <w:bottom w:val="single" w:sz="2" w:space="0" w:color="auto"/>
              <w:right w:val="single" w:sz="2" w:space="0" w:color="auto"/>
            </w:tcBorders>
            <w:shd w:val="clear" w:color="auto" w:fill="D3D3D3"/>
            <w:vAlign w:val="center"/>
          </w:tcPr>
          <w:p w14:paraId="46A43C54"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前10名股东持股情况（不含通过转融通出借股份）</w:t>
            </w:r>
          </w:p>
        </w:tc>
      </w:tr>
      <w:tr w:rsidR="005F07DD" w:rsidRPr="00324D80" w14:paraId="6655B855" w14:textId="77777777">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570BE25"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股东名称</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13B6523"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股东性质</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EA3C56F"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持股比例</w:t>
            </w:r>
          </w:p>
        </w:tc>
        <w:tc>
          <w:tcPr>
            <w:tcW w:w="2142"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BDA0560"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持股数量</w:t>
            </w:r>
          </w:p>
        </w:tc>
        <w:tc>
          <w:tcPr>
            <w:tcW w:w="2142"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60CE361"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持有有限</w:t>
            </w:r>
            <w:proofErr w:type="gramStart"/>
            <w:r w:rsidRPr="00324D80">
              <w:rPr>
                <w:rFonts w:ascii="宋体" w:eastAsia="宋体" w:hAnsi="宋体" w:cs="宋体"/>
                <w:sz w:val="18"/>
                <w:szCs w:val="18"/>
              </w:rPr>
              <w:t>售条件</w:t>
            </w:r>
            <w:proofErr w:type="gramEnd"/>
            <w:r w:rsidRPr="00324D80">
              <w:rPr>
                <w:rFonts w:ascii="宋体" w:eastAsia="宋体" w:hAnsi="宋体" w:cs="宋体"/>
                <w:sz w:val="18"/>
                <w:szCs w:val="18"/>
              </w:rPr>
              <w:t>的股份数量</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77BE038"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质押、标记或冻结情况</w:t>
            </w:r>
          </w:p>
        </w:tc>
      </w:tr>
      <w:tr w:rsidR="005F07DD" w:rsidRPr="00324D80" w14:paraId="01AEFE40" w14:textId="77777777">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18D759E" w14:textId="77777777" w:rsidR="005F07DD" w:rsidRPr="00324D80" w:rsidRDefault="005F07DD">
            <w:pPr>
              <w:rPr>
                <w:rFonts w:ascii="宋体" w:eastAsia="宋体" w:hAnsi="宋体" w:hint="eastAsia"/>
              </w:rPr>
            </w:pP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AE5CE9F" w14:textId="77777777" w:rsidR="005F07DD" w:rsidRPr="00324D80" w:rsidRDefault="005F07DD">
            <w:pPr>
              <w:rPr>
                <w:rFonts w:ascii="宋体" w:eastAsia="宋体" w:hAnsi="宋体" w:hint="eastAsia"/>
              </w:rPr>
            </w:pP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D346149" w14:textId="77777777" w:rsidR="005F07DD" w:rsidRPr="00324D80" w:rsidRDefault="005F07DD">
            <w:pPr>
              <w:rPr>
                <w:rFonts w:ascii="宋体" w:eastAsia="宋体" w:hAnsi="宋体" w:hint="eastAsia"/>
              </w:rPr>
            </w:pPr>
          </w:p>
        </w:tc>
        <w:tc>
          <w:tcPr>
            <w:tcW w:w="2142"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6D850359" w14:textId="77777777" w:rsidR="005F07DD" w:rsidRPr="00324D80" w:rsidRDefault="005F07DD">
            <w:pPr>
              <w:rPr>
                <w:rFonts w:ascii="宋体" w:eastAsia="宋体" w:hAnsi="宋体" w:hint="eastAsia"/>
              </w:rPr>
            </w:pPr>
          </w:p>
        </w:tc>
        <w:tc>
          <w:tcPr>
            <w:tcW w:w="2142"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22DE5CFA" w14:textId="77777777" w:rsidR="005F07DD" w:rsidRPr="00324D80" w:rsidRDefault="005F07DD">
            <w:pPr>
              <w:rPr>
                <w:rFonts w:ascii="宋体" w:eastAsia="宋体" w:hAnsi="宋体" w:hint="eastAsia"/>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7A1AF2C"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股份状态</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0CA0859" w14:textId="77777777" w:rsidR="005F07DD" w:rsidRPr="00324D80" w:rsidRDefault="00367185">
            <w:pPr>
              <w:spacing w:before="40" w:after="40" w:line="240" w:lineRule="exact"/>
              <w:jc w:val="center"/>
              <w:rPr>
                <w:rFonts w:ascii="宋体" w:eastAsia="宋体" w:hAnsi="宋体" w:cs="宋体" w:hint="eastAsia"/>
                <w:sz w:val="18"/>
                <w:szCs w:val="18"/>
              </w:rPr>
            </w:pPr>
            <w:r w:rsidRPr="00324D80">
              <w:rPr>
                <w:rFonts w:ascii="宋体" w:eastAsia="宋体" w:hAnsi="宋体" w:cs="宋体"/>
                <w:sz w:val="18"/>
                <w:szCs w:val="18"/>
              </w:rPr>
              <w:t>数量</w:t>
            </w:r>
          </w:p>
        </w:tc>
      </w:tr>
      <w:tr w:rsidR="005F07DD" w:rsidRPr="00324D80" w14:paraId="59EDCCB6"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15C8E67"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黄文谦</w:t>
            </w:r>
          </w:p>
        </w:tc>
        <w:tc>
          <w:tcPr>
            <w:tcW w:w="1071" w:type="dxa"/>
            <w:tcBorders>
              <w:top w:val="single" w:sz="2" w:space="0" w:color="auto"/>
              <w:left w:val="single" w:sz="2" w:space="0" w:color="auto"/>
              <w:bottom w:val="single" w:sz="2" w:space="0" w:color="auto"/>
              <w:right w:val="single" w:sz="2" w:space="0" w:color="auto"/>
            </w:tcBorders>
            <w:vAlign w:val="center"/>
          </w:tcPr>
          <w:p w14:paraId="46CFE541"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境内自然</w:t>
            </w:r>
            <w:r w:rsidRPr="00324D80">
              <w:rPr>
                <w:rFonts w:ascii="宋体" w:eastAsia="宋体" w:hAnsi="宋体" w:cs="宋体"/>
                <w:sz w:val="18"/>
                <w:szCs w:val="18"/>
              </w:rPr>
              <w:lastRenderedPageBreak/>
              <w:t>人</w:t>
            </w:r>
          </w:p>
        </w:tc>
        <w:tc>
          <w:tcPr>
            <w:tcW w:w="1071" w:type="dxa"/>
            <w:tcBorders>
              <w:top w:val="single" w:sz="2" w:space="0" w:color="auto"/>
              <w:left w:val="single" w:sz="2" w:space="0" w:color="auto"/>
              <w:bottom w:val="single" w:sz="2" w:space="0" w:color="auto"/>
              <w:right w:val="single" w:sz="2" w:space="0" w:color="auto"/>
            </w:tcBorders>
            <w:vAlign w:val="center"/>
          </w:tcPr>
          <w:p w14:paraId="309AC54E"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lastRenderedPageBreak/>
              <w:t>14.02%</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3C90213F"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30,930,530</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0058348C"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52E49D59"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不适用</w:t>
            </w:r>
          </w:p>
        </w:tc>
        <w:tc>
          <w:tcPr>
            <w:tcW w:w="1071" w:type="dxa"/>
            <w:tcBorders>
              <w:top w:val="single" w:sz="2" w:space="0" w:color="auto"/>
              <w:left w:val="single" w:sz="2" w:space="0" w:color="auto"/>
              <w:bottom w:val="single" w:sz="2" w:space="0" w:color="auto"/>
              <w:right w:val="single" w:sz="2" w:space="0" w:color="auto"/>
            </w:tcBorders>
            <w:vAlign w:val="center"/>
          </w:tcPr>
          <w:p w14:paraId="27754BE8"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r>
      <w:tr w:rsidR="005F07DD" w:rsidRPr="00324D80" w14:paraId="78836732"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2D33C42"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深圳市</w:t>
            </w:r>
            <w:proofErr w:type="gramStart"/>
            <w:r w:rsidRPr="00324D80">
              <w:rPr>
                <w:rFonts w:ascii="宋体" w:eastAsia="宋体" w:hAnsi="宋体" w:cs="宋体"/>
                <w:sz w:val="18"/>
                <w:szCs w:val="18"/>
              </w:rPr>
              <w:t>中燃科技</w:t>
            </w:r>
            <w:proofErr w:type="gramEnd"/>
            <w:r w:rsidRPr="00324D80">
              <w:rPr>
                <w:rFonts w:ascii="宋体" w:eastAsia="宋体" w:hAnsi="宋体" w:cs="宋体"/>
                <w:sz w:val="18"/>
                <w:szCs w:val="18"/>
              </w:rPr>
              <w:t>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4CBB7728"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境内非国有法人</w:t>
            </w:r>
          </w:p>
        </w:tc>
        <w:tc>
          <w:tcPr>
            <w:tcW w:w="1071" w:type="dxa"/>
            <w:tcBorders>
              <w:top w:val="single" w:sz="2" w:space="0" w:color="auto"/>
              <w:left w:val="single" w:sz="2" w:space="0" w:color="auto"/>
              <w:bottom w:val="single" w:sz="2" w:space="0" w:color="auto"/>
              <w:right w:val="single" w:sz="2" w:space="0" w:color="auto"/>
            </w:tcBorders>
            <w:vAlign w:val="center"/>
          </w:tcPr>
          <w:p w14:paraId="4ED728CD"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10.28%</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2F451033"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22,680,000</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078B3232"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02116E73"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不适用</w:t>
            </w:r>
          </w:p>
        </w:tc>
        <w:tc>
          <w:tcPr>
            <w:tcW w:w="1071" w:type="dxa"/>
            <w:tcBorders>
              <w:top w:val="single" w:sz="2" w:space="0" w:color="auto"/>
              <w:left w:val="single" w:sz="2" w:space="0" w:color="auto"/>
              <w:bottom w:val="single" w:sz="2" w:space="0" w:color="auto"/>
              <w:right w:val="single" w:sz="2" w:space="0" w:color="auto"/>
            </w:tcBorders>
            <w:vAlign w:val="center"/>
          </w:tcPr>
          <w:p w14:paraId="71C6F3C9"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r>
      <w:tr w:rsidR="005F07DD" w:rsidRPr="00324D80" w14:paraId="1BA94CDB"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641ADFC6"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吴强</w:t>
            </w:r>
          </w:p>
        </w:tc>
        <w:tc>
          <w:tcPr>
            <w:tcW w:w="1071" w:type="dxa"/>
            <w:tcBorders>
              <w:top w:val="single" w:sz="2" w:space="0" w:color="auto"/>
              <w:left w:val="single" w:sz="2" w:space="0" w:color="auto"/>
              <w:bottom w:val="single" w:sz="2" w:space="0" w:color="auto"/>
              <w:right w:val="single" w:sz="2" w:space="0" w:color="auto"/>
            </w:tcBorders>
            <w:vAlign w:val="center"/>
          </w:tcPr>
          <w:p w14:paraId="76079D72"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14:paraId="1D301B8C"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1.72%</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599D8A85"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3,785,560</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0BD80728"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79974027"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不适用</w:t>
            </w:r>
          </w:p>
        </w:tc>
        <w:tc>
          <w:tcPr>
            <w:tcW w:w="1071" w:type="dxa"/>
            <w:tcBorders>
              <w:top w:val="single" w:sz="2" w:space="0" w:color="auto"/>
              <w:left w:val="single" w:sz="2" w:space="0" w:color="auto"/>
              <w:bottom w:val="single" w:sz="2" w:space="0" w:color="auto"/>
              <w:right w:val="single" w:sz="2" w:space="0" w:color="auto"/>
            </w:tcBorders>
            <w:vAlign w:val="center"/>
          </w:tcPr>
          <w:p w14:paraId="3A8501F8"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r>
      <w:tr w:rsidR="005F07DD" w:rsidRPr="00324D80" w14:paraId="6030D0EA"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48F62528"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陈乐仪</w:t>
            </w:r>
          </w:p>
        </w:tc>
        <w:tc>
          <w:tcPr>
            <w:tcW w:w="1071" w:type="dxa"/>
            <w:tcBorders>
              <w:top w:val="single" w:sz="2" w:space="0" w:color="auto"/>
              <w:left w:val="single" w:sz="2" w:space="0" w:color="auto"/>
              <w:bottom w:val="single" w:sz="2" w:space="0" w:color="auto"/>
              <w:right w:val="single" w:sz="2" w:space="0" w:color="auto"/>
            </w:tcBorders>
            <w:vAlign w:val="center"/>
          </w:tcPr>
          <w:p w14:paraId="25FC40D5"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14:paraId="594FE1ED"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1.32%</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689B23ED"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2,914,745</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22BE2B58"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74918630"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不适用</w:t>
            </w:r>
          </w:p>
        </w:tc>
        <w:tc>
          <w:tcPr>
            <w:tcW w:w="1071" w:type="dxa"/>
            <w:tcBorders>
              <w:top w:val="single" w:sz="2" w:space="0" w:color="auto"/>
              <w:left w:val="single" w:sz="2" w:space="0" w:color="auto"/>
              <w:bottom w:val="single" w:sz="2" w:space="0" w:color="auto"/>
              <w:right w:val="single" w:sz="2" w:space="0" w:color="auto"/>
            </w:tcBorders>
            <w:vAlign w:val="center"/>
          </w:tcPr>
          <w:p w14:paraId="0DD5DA9F"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r>
      <w:tr w:rsidR="005F07DD" w:rsidRPr="00324D80" w14:paraId="416B17A1"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4BCB81F7"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中信证券资产管理（香港）有限公司－客户资金</w:t>
            </w:r>
          </w:p>
        </w:tc>
        <w:tc>
          <w:tcPr>
            <w:tcW w:w="1071" w:type="dxa"/>
            <w:tcBorders>
              <w:top w:val="single" w:sz="2" w:space="0" w:color="auto"/>
              <w:left w:val="single" w:sz="2" w:space="0" w:color="auto"/>
              <w:bottom w:val="single" w:sz="2" w:space="0" w:color="auto"/>
              <w:right w:val="single" w:sz="2" w:space="0" w:color="auto"/>
            </w:tcBorders>
            <w:vAlign w:val="center"/>
          </w:tcPr>
          <w:p w14:paraId="5945BC37"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境外法人</w:t>
            </w:r>
          </w:p>
        </w:tc>
        <w:tc>
          <w:tcPr>
            <w:tcW w:w="1071" w:type="dxa"/>
            <w:tcBorders>
              <w:top w:val="single" w:sz="2" w:space="0" w:color="auto"/>
              <w:left w:val="single" w:sz="2" w:space="0" w:color="auto"/>
              <w:bottom w:val="single" w:sz="2" w:space="0" w:color="auto"/>
              <w:right w:val="single" w:sz="2" w:space="0" w:color="auto"/>
            </w:tcBorders>
            <w:vAlign w:val="center"/>
          </w:tcPr>
          <w:p w14:paraId="635281DD"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1.15%</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6F4CED19"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2,545,689</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7530D4E9"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6D64E029"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不适用</w:t>
            </w:r>
          </w:p>
        </w:tc>
        <w:tc>
          <w:tcPr>
            <w:tcW w:w="1071" w:type="dxa"/>
            <w:tcBorders>
              <w:top w:val="single" w:sz="2" w:space="0" w:color="auto"/>
              <w:left w:val="single" w:sz="2" w:space="0" w:color="auto"/>
              <w:bottom w:val="single" w:sz="2" w:space="0" w:color="auto"/>
              <w:right w:val="single" w:sz="2" w:space="0" w:color="auto"/>
            </w:tcBorders>
            <w:vAlign w:val="center"/>
          </w:tcPr>
          <w:p w14:paraId="51F865ED"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r>
      <w:tr w:rsidR="005F07DD" w:rsidRPr="00324D80" w14:paraId="0F117D91"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44764FDC"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范慧群</w:t>
            </w:r>
          </w:p>
        </w:tc>
        <w:tc>
          <w:tcPr>
            <w:tcW w:w="1071" w:type="dxa"/>
            <w:tcBorders>
              <w:top w:val="single" w:sz="2" w:space="0" w:color="auto"/>
              <w:left w:val="single" w:sz="2" w:space="0" w:color="auto"/>
              <w:bottom w:val="single" w:sz="2" w:space="0" w:color="auto"/>
              <w:right w:val="single" w:sz="2" w:space="0" w:color="auto"/>
            </w:tcBorders>
            <w:vAlign w:val="center"/>
          </w:tcPr>
          <w:p w14:paraId="09E272A2"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14:paraId="4F545DCF"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1.01%</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729FA770"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2,225,100</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71E75A56"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53818FC0"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14:paraId="2C7491FE"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2,225,100</w:t>
            </w:r>
          </w:p>
        </w:tc>
      </w:tr>
      <w:tr w:rsidR="005F07DD" w:rsidRPr="00324D80" w14:paraId="57F22C9A"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D0AD14F"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唐春燕</w:t>
            </w:r>
          </w:p>
        </w:tc>
        <w:tc>
          <w:tcPr>
            <w:tcW w:w="1071" w:type="dxa"/>
            <w:tcBorders>
              <w:top w:val="single" w:sz="2" w:space="0" w:color="auto"/>
              <w:left w:val="single" w:sz="2" w:space="0" w:color="auto"/>
              <w:bottom w:val="single" w:sz="2" w:space="0" w:color="auto"/>
              <w:right w:val="single" w:sz="2" w:space="0" w:color="auto"/>
            </w:tcBorders>
            <w:vAlign w:val="center"/>
          </w:tcPr>
          <w:p w14:paraId="130C8EEE"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14:paraId="63D40205"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0.97%</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575E778C"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2,131,610</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5E1D07C1"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1ABF6569"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不适用</w:t>
            </w:r>
          </w:p>
        </w:tc>
        <w:tc>
          <w:tcPr>
            <w:tcW w:w="1071" w:type="dxa"/>
            <w:tcBorders>
              <w:top w:val="single" w:sz="2" w:space="0" w:color="auto"/>
              <w:left w:val="single" w:sz="2" w:space="0" w:color="auto"/>
              <w:bottom w:val="single" w:sz="2" w:space="0" w:color="auto"/>
              <w:right w:val="single" w:sz="2" w:space="0" w:color="auto"/>
            </w:tcBorders>
            <w:vAlign w:val="center"/>
          </w:tcPr>
          <w:p w14:paraId="3BA22F02"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r>
      <w:tr w:rsidR="005F07DD" w:rsidRPr="00324D80" w14:paraId="3CF76BC9"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00A5F7BA"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吕礼发</w:t>
            </w:r>
          </w:p>
        </w:tc>
        <w:tc>
          <w:tcPr>
            <w:tcW w:w="1071" w:type="dxa"/>
            <w:tcBorders>
              <w:top w:val="single" w:sz="2" w:space="0" w:color="auto"/>
              <w:left w:val="single" w:sz="2" w:space="0" w:color="auto"/>
              <w:bottom w:val="single" w:sz="2" w:space="0" w:color="auto"/>
              <w:right w:val="single" w:sz="2" w:space="0" w:color="auto"/>
            </w:tcBorders>
            <w:vAlign w:val="center"/>
          </w:tcPr>
          <w:p w14:paraId="7A1D3DA2"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14:paraId="4ED2705B"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0.69%</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7A2D25DA"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1,516,700</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31121162"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1D31B9BD"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不适用</w:t>
            </w:r>
          </w:p>
        </w:tc>
        <w:tc>
          <w:tcPr>
            <w:tcW w:w="1071" w:type="dxa"/>
            <w:tcBorders>
              <w:top w:val="single" w:sz="2" w:space="0" w:color="auto"/>
              <w:left w:val="single" w:sz="2" w:space="0" w:color="auto"/>
              <w:bottom w:val="single" w:sz="2" w:space="0" w:color="auto"/>
              <w:right w:val="single" w:sz="2" w:space="0" w:color="auto"/>
            </w:tcBorders>
            <w:vAlign w:val="center"/>
          </w:tcPr>
          <w:p w14:paraId="17AF5909"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r>
      <w:tr w:rsidR="005F07DD" w:rsidRPr="00324D80" w14:paraId="2585F15D"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7AEEDCBA" w14:textId="77777777" w:rsidR="005F07DD" w:rsidRPr="00324D80" w:rsidRDefault="00367185">
            <w:pPr>
              <w:spacing w:after="0" w:line="240" w:lineRule="exact"/>
              <w:rPr>
                <w:rFonts w:ascii="宋体" w:eastAsia="宋体" w:hAnsi="宋体" w:cs="宋体" w:hint="eastAsia"/>
                <w:sz w:val="18"/>
                <w:szCs w:val="18"/>
              </w:rPr>
            </w:pPr>
            <w:proofErr w:type="gramStart"/>
            <w:r w:rsidRPr="00324D80">
              <w:rPr>
                <w:rFonts w:ascii="宋体" w:eastAsia="宋体" w:hAnsi="宋体" w:cs="宋体"/>
                <w:sz w:val="18"/>
                <w:szCs w:val="18"/>
              </w:rPr>
              <w:t>陈培良</w:t>
            </w:r>
            <w:proofErr w:type="gramEnd"/>
          </w:p>
        </w:tc>
        <w:tc>
          <w:tcPr>
            <w:tcW w:w="1071" w:type="dxa"/>
            <w:tcBorders>
              <w:top w:val="single" w:sz="2" w:space="0" w:color="auto"/>
              <w:left w:val="single" w:sz="2" w:space="0" w:color="auto"/>
              <w:bottom w:val="single" w:sz="2" w:space="0" w:color="auto"/>
              <w:right w:val="single" w:sz="2" w:space="0" w:color="auto"/>
            </w:tcBorders>
            <w:vAlign w:val="center"/>
          </w:tcPr>
          <w:p w14:paraId="3896BC30"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14:paraId="09BE5794"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0.60%</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66328FF2"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1,330,000</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3CC9262F"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0BCAA8CD"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不适用</w:t>
            </w:r>
          </w:p>
        </w:tc>
        <w:tc>
          <w:tcPr>
            <w:tcW w:w="1071" w:type="dxa"/>
            <w:tcBorders>
              <w:top w:val="single" w:sz="2" w:space="0" w:color="auto"/>
              <w:left w:val="single" w:sz="2" w:space="0" w:color="auto"/>
              <w:bottom w:val="single" w:sz="2" w:space="0" w:color="auto"/>
              <w:right w:val="single" w:sz="2" w:space="0" w:color="auto"/>
            </w:tcBorders>
            <w:vAlign w:val="center"/>
          </w:tcPr>
          <w:p w14:paraId="78BA7E23"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r>
      <w:tr w:rsidR="005F07DD" w:rsidRPr="00324D80" w14:paraId="059634D6"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E893EF3"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胡国忠</w:t>
            </w:r>
          </w:p>
        </w:tc>
        <w:tc>
          <w:tcPr>
            <w:tcW w:w="1071" w:type="dxa"/>
            <w:tcBorders>
              <w:top w:val="single" w:sz="2" w:space="0" w:color="auto"/>
              <w:left w:val="single" w:sz="2" w:space="0" w:color="auto"/>
              <w:bottom w:val="single" w:sz="2" w:space="0" w:color="auto"/>
              <w:right w:val="single" w:sz="2" w:space="0" w:color="auto"/>
            </w:tcBorders>
            <w:vAlign w:val="center"/>
          </w:tcPr>
          <w:p w14:paraId="1240B2AB"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14:paraId="5712FB0C"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0.58%</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0E35ECA8"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1,280,000</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45C48EB8"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20A410B2"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不适用</w:t>
            </w:r>
          </w:p>
        </w:tc>
        <w:tc>
          <w:tcPr>
            <w:tcW w:w="1071" w:type="dxa"/>
            <w:tcBorders>
              <w:top w:val="single" w:sz="2" w:space="0" w:color="auto"/>
              <w:left w:val="single" w:sz="2" w:space="0" w:color="auto"/>
              <w:bottom w:val="single" w:sz="2" w:space="0" w:color="auto"/>
              <w:right w:val="single" w:sz="2" w:space="0" w:color="auto"/>
            </w:tcBorders>
            <w:vAlign w:val="center"/>
          </w:tcPr>
          <w:p w14:paraId="51214D10" w14:textId="77777777" w:rsidR="005F07DD" w:rsidRPr="00324D80" w:rsidRDefault="00367185">
            <w:pPr>
              <w:spacing w:after="0" w:line="240" w:lineRule="exact"/>
              <w:jc w:val="right"/>
              <w:rPr>
                <w:rFonts w:ascii="宋体" w:eastAsia="宋体" w:hAnsi="宋体" w:cs="宋体" w:hint="eastAsia"/>
                <w:sz w:val="18"/>
                <w:szCs w:val="18"/>
              </w:rPr>
            </w:pPr>
            <w:r w:rsidRPr="00324D80">
              <w:rPr>
                <w:rFonts w:ascii="宋体" w:eastAsia="宋体" w:hAnsi="宋体" w:cs="宋体"/>
                <w:sz w:val="18"/>
                <w:szCs w:val="18"/>
              </w:rPr>
              <w:t>0</w:t>
            </w:r>
          </w:p>
        </w:tc>
      </w:tr>
      <w:tr w:rsidR="005F07DD" w:rsidRPr="00324D80" w14:paraId="2BCFD4AC"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E7596EF"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上述股东关联关系或一致行动的说明</w:t>
            </w:r>
          </w:p>
        </w:tc>
        <w:tc>
          <w:tcPr>
            <w:tcW w:w="7497" w:type="dxa"/>
            <w:gridSpan w:val="7"/>
            <w:tcBorders>
              <w:top w:val="single" w:sz="2" w:space="0" w:color="auto"/>
              <w:left w:val="single" w:sz="2" w:space="0" w:color="auto"/>
              <w:bottom w:val="single" w:sz="2" w:space="0" w:color="auto"/>
              <w:right w:val="single" w:sz="2" w:space="0" w:color="auto"/>
            </w:tcBorders>
            <w:vAlign w:val="center"/>
          </w:tcPr>
          <w:p w14:paraId="302C3A93"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公司未知其是否存在关联关系或</w:t>
            </w:r>
            <w:proofErr w:type="gramStart"/>
            <w:r w:rsidRPr="00324D80">
              <w:rPr>
                <w:rFonts w:ascii="宋体" w:eastAsia="宋体" w:hAnsi="宋体" w:cs="宋体"/>
                <w:sz w:val="18"/>
                <w:szCs w:val="18"/>
              </w:rPr>
              <w:t>为一致</w:t>
            </w:r>
            <w:proofErr w:type="gramEnd"/>
            <w:r w:rsidRPr="00324D80">
              <w:rPr>
                <w:rFonts w:ascii="宋体" w:eastAsia="宋体" w:hAnsi="宋体" w:cs="宋体"/>
                <w:sz w:val="18"/>
                <w:szCs w:val="18"/>
              </w:rPr>
              <w:t>行动人。</w:t>
            </w:r>
          </w:p>
        </w:tc>
      </w:tr>
      <w:tr w:rsidR="005F07DD" w:rsidRPr="00324D80" w14:paraId="49BF9915"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F1E97F5"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参与融资融券业务股东情况说明（如有）</w:t>
            </w:r>
          </w:p>
        </w:tc>
        <w:tc>
          <w:tcPr>
            <w:tcW w:w="7497" w:type="dxa"/>
            <w:gridSpan w:val="7"/>
            <w:tcBorders>
              <w:top w:val="single" w:sz="2" w:space="0" w:color="auto"/>
              <w:left w:val="single" w:sz="2" w:space="0" w:color="auto"/>
              <w:bottom w:val="single" w:sz="2" w:space="0" w:color="auto"/>
              <w:right w:val="single" w:sz="2" w:space="0" w:color="auto"/>
            </w:tcBorders>
            <w:vAlign w:val="center"/>
          </w:tcPr>
          <w:p w14:paraId="33B88B2A"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不适用</w:t>
            </w:r>
          </w:p>
        </w:tc>
      </w:tr>
    </w:tbl>
    <w:p w14:paraId="566097C4"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持股5%以上股东、前10名股东及前10名无限</w:t>
      </w:r>
      <w:proofErr w:type="gramStart"/>
      <w:r w:rsidRPr="00324D80">
        <w:rPr>
          <w:rFonts w:ascii="宋体" w:eastAsia="宋体" w:hAnsi="宋体" w:cs="宋体"/>
          <w:sz w:val="18"/>
          <w:szCs w:val="18"/>
        </w:rPr>
        <w:t>售流通</w:t>
      </w:r>
      <w:proofErr w:type="gramEnd"/>
      <w:r w:rsidRPr="00324D80">
        <w:rPr>
          <w:rFonts w:ascii="宋体" w:eastAsia="宋体" w:hAnsi="宋体" w:cs="宋体"/>
          <w:sz w:val="18"/>
          <w:szCs w:val="18"/>
        </w:rPr>
        <w:t>股股东参与转融通业务出借股份情况</w:t>
      </w:r>
    </w:p>
    <w:p w14:paraId="52AB0B93"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 xml:space="preserve">□适用 </w:t>
      </w:r>
      <w:r w:rsidRPr="00324D80">
        <w:rPr>
          <w:rFonts w:ascii="宋体" w:eastAsia="宋体" w:hAnsi="宋体" w:cs="宋体"/>
          <w:sz w:val="18"/>
          <w:szCs w:val="18"/>
        </w:rPr>
        <w:sym w:font="Wingdings 2" w:char="F052"/>
      </w:r>
      <w:r w:rsidRPr="00324D80">
        <w:rPr>
          <w:rFonts w:ascii="宋体" w:eastAsia="宋体" w:hAnsi="宋体" w:cs="宋体"/>
          <w:sz w:val="18"/>
          <w:szCs w:val="18"/>
        </w:rPr>
        <w:t>不适用</w:t>
      </w:r>
    </w:p>
    <w:p w14:paraId="06E7EA49"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前10名股东及前10名无限</w:t>
      </w:r>
      <w:proofErr w:type="gramStart"/>
      <w:r w:rsidRPr="00324D80">
        <w:rPr>
          <w:rFonts w:ascii="宋体" w:eastAsia="宋体" w:hAnsi="宋体" w:cs="宋体"/>
          <w:sz w:val="18"/>
          <w:szCs w:val="18"/>
        </w:rPr>
        <w:t>售流通</w:t>
      </w:r>
      <w:proofErr w:type="gramEnd"/>
      <w:r w:rsidRPr="00324D80">
        <w:rPr>
          <w:rFonts w:ascii="宋体" w:eastAsia="宋体" w:hAnsi="宋体" w:cs="宋体"/>
          <w:sz w:val="18"/>
          <w:szCs w:val="18"/>
        </w:rPr>
        <w:t>股股东因转融通出借/归还原因导致较上期发生变化</w:t>
      </w:r>
    </w:p>
    <w:p w14:paraId="0A13AADF" w14:textId="77777777" w:rsidR="005F07DD" w:rsidRPr="00324D80" w:rsidRDefault="00367185">
      <w:pPr>
        <w:spacing w:after="0" w:line="240" w:lineRule="exact"/>
        <w:rPr>
          <w:rFonts w:ascii="宋体" w:eastAsia="宋体" w:hAnsi="宋体" w:cs="宋体" w:hint="eastAsia"/>
          <w:sz w:val="18"/>
          <w:szCs w:val="18"/>
        </w:rPr>
      </w:pPr>
      <w:r w:rsidRPr="00324D80">
        <w:rPr>
          <w:rFonts w:ascii="宋体" w:eastAsia="宋体" w:hAnsi="宋体" w:cs="宋体"/>
          <w:sz w:val="18"/>
          <w:szCs w:val="18"/>
        </w:rPr>
        <w:t xml:space="preserve">□适用 </w:t>
      </w:r>
      <w:r w:rsidRPr="00324D80">
        <w:rPr>
          <w:rFonts w:ascii="宋体" w:eastAsia="宋体" w:hAnsi="宋体" w:cs="宋体"/>
          <w:sz w:val="18"/>
          <w:szCs w:val="18"/>
        </w:rPr>
        <w:sym w:font="Wingdings 2" w:char="F052"/>
      </w:r>
      <w:r w:rsidRPr="00324D80">
        <w:rPr>
          <w:rFonts w:ascii="宋体" w:eastAsia="宋体" w:hAnsi="宋体" w:cs="宋体"/>
          <w:sz w:val="18"/>
          <w:szCs w:val="18"/>
        </w:rPr>
        <w:t>不适用</w:t>
      </w:r>
    </w:p>
    <w:p w14:paraId="2F8ED0E7" w14:textId="77777777" w:rsidR="005F07DD" w:rsidRPr="00324D80" w:rsidRDefault="00367185">
      <w:pPr>
        <w:keepNext/>
        <w:keepLines/>
        <w:spacing w:before="300" w:after="300" w:line="280" w:lineRule="exact"/>
        <w:outlineLvl w:val="3"/>
        <w:rPr>
          <w:rFonts w:ascii="宋体" w:eastAsia="宋体" w:hAnsi="宋体" w:cs="宋体" w:hint="eastAsia"/>
          <w:b/>
          <w:bCs/>
          <w:sz w:val="18"/>
          <w:szCs w:val="18"/>
        </w:rPr>
      </w:pPr>
      <w:bookmarkStart w:id="9" w:name="_Toc988898"/>
      <w:r w:rsidRPr="00324D80">
        <w:rPr>
          <w:rFonts w:ascii="宋体" w:eastAsia="宋体" w:hAnsi="宋体" w:cs="宋体"/>
          <w:b/>
          <w:bCs/>
          <w:sz w:val="18"/>
          <w:szCs w:val="18"/>
        </w:rPr>
        <w:t>（2） 公司优先股股东总数及前10名优先股股东持股情况表</w:t>
      </w:r>
      <w:bookmarkEnd w:id="9"/>
    </w:p>
    <w:p w14:paraId="14F107FC" w14:textId="77777777" w:rsidR="005F07DD" w:rsidRPr="00324D80" w:rsidRDefault="00367185">
      <w:pPr>
        <w:spacing w:before="40" w:after="40" w:line="240" w:lineRule="exact"/>
        <w:rPr>
          <w:rFonts w:ascii="宋体" w:eastAsia="宋体" w:hAnsi="宋体" w:cs="宋体" w:hint="eastAsia"/>
          <w:sz w:val="18"/>
          <w:szCs w:val="18"/>
        </w:rPr>
      </w:pPr>
      <w:r w:rsidRPr="00324D80">
        <w:rPr>
          <w:rFonts w:ascii="宋体" w:eastAsia="宋体" w:hAnsi="宋体" w:cs="宋体"/>
          <w:sz w:val="18"/>
          <w:szCs w:val="18"/>
        </w:rPr>
        <w:t xml:space="preserve">□适用 </w:t>
      </w:r>
      <w:r w:rsidRPr="00324D80">
        <w:rPr>
          <w:rFonts w:ascii="宋体" w:eastAsia="宋体" w:hAnsi="宋体" w:cs="宋体"/>
          <w:sz w:val="18"/>
          <w:szCs w:val="18"/>
        </w:rPr>
        <w:sym w:font="Wingdings 2" w:char="F052"/>
      </w:r>
      <w:r w:rsidRPr="00324D80">
        <w:rPr>
          <w:rFonts w:ascii="宋体" w:eastAsia="宋体" w:hAnsi="宋体" w:cs="宋体"/>
          <w:sz w:val="18"/>
          <w:szCs w:val="18"/>
        </w:rPr>
        <w:t>不适用</w:t>
      </w:r>
    </w:p>
    <w:p w14:paraId="7DCC0EC2"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公司报告期无优先股股东持股情况。</w:t>
      </w:r>
    </w:p>
    <w:p w14:paraId="185F1BDE" w14:textId="77777777" w:rsidR="005F07DD" w:rsidRPr="00324D80" w:rsidRDefault="00367185">
      <w:pPr>
        <w:keepNext/>
        <w:keepLines/>
        <w:spacing w:before="300" w:after="300" w:line="280" w:lineRule="exact"/>
        <w:outlineLvl w:val="3"/>
        <w:rPr>
          <w:rFonts w:ascii="宋体" w:eastAsia="宋体" w:hAnsi="宋体" w:cs="宋体" w:hint="eastAsia"/>
          <w:b/>
          <w:bCs/>
          <w:sz w:val="18"/>
          <w:szCs w:val="18"/>
        </w:rPr>
      </w:pPr>
      <w:bookmarkStart w:id="10" w:name="_Toc988899"/>
      <w:r w:rsidRPr="00324D80">
        <w:rPr>
          <w:rFonts w:ascii="宋体" w:eastAsia="宋体" w:hAnsi="宋体" w:cs="宋体"/>
          <w:b/>
          <w:bCs/>
          <w:sz w:val="18"/>
          <w:szCs w:val="18"/>
        </w:rPr>
        <w:t>（3） 以方框图形式披露公司与实际控制人之间的产权及控制关系</w:t>
      </w:r>
      <w:bookmarkEnd w:id="10"/>
    </w:p>
    <w:p w14:paraId="13BCE300" w14:textId="21F8045C" w:rsidR="005F07DD" w:rsidRPr="00324D80" w:rsidRDefault="00DE34E5">
      <w:pPr>
        <w:spacing w:before="40" w:after="40" w:line="0" w:lineRule="atLeast"/>
        <w:rPr>
          <w:rFonts w:ascii="宋体" w:eastAsia="宋体" w:hAnsi="宋体" w:cs="Times New Roman" w:hint="eastAsia"/>
        </w:rPr>
      </w:pPr>
      <w:r>
        <w:rPr>
          <w:noProof/>
        </w:rPr>
        <w:drawing>
          <wp:inline distT="0" distB="0" distL="0" distR="0" wp14:anchorId="42CBF5FE" wp14:editId="17BCCF15">
            <wp:extent cx="2438400" cy="1620423"/>
            <wp:effectExtent l="0" t="0" r="0" b="0"/>
            <wp:docPr id="1176149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49692" name=""/>
                    <pic:cNvPicPr/>
                  </pic:nvPicPr>
                  <pic:blipFill>
                    <a:blip r:embed="rId10"/>
                    <a:stretch>
                      <a:fillRect/>
                    </a:stretch>
                  </pic:blipFill>
                  <pic:spPr>
                    <a:xfrm>
                      <a:off x="0" y="0"/>
                      <a:ext cx="2446437" cy="1625764"/>
                    </a:xfrm>
                    <a:prstGeom prst="rect">
                      <a:avLst/>
                    </a:prstGeom>
                  </pic:spPr>
                </pic:pic>
              </a:graphicData>
            </a:graphic>
          </wp:inline>
        </w:drawing>
      </w:r>
    </w:p>
    <w:p w14:paraId="505D3830" w14:textId="77777777" w:rsidR="005F07DD" w:rsidRPr="00324D80" w:rsidRDefault="00367185">
      <w:pPr>
        <w:pStyle w:val="3"/>
        <w:spacing w:line="280" w:lineRule="exact"/>
        <w:jc w:val="left"/>
        <w:rPr>
          <w:rFonts w:ascii="宋体" w:hAnsi="宋体" w:cs="宋体" w:hint="eastAsia"/>
          <w:b/>
          <w:bCs/>
        </w:rPr>
      </w:pPr>
      <w:bookmarkStart w:id="11" w:name="_Toc988900"/>
      <w:r w:rsidRPr="00324D80">
        <w:rPr>
          <w:rFonts w:ascii="宋体" w:hAnsi="宋体" w:cs="宋体"/>
          <w:b/>
          <w:bCs/>
        </w:rPr>
        <w:lastRenderedPageBreak/>
        <w:t>5、在年度报告批准报出日存续的债券情况</w:t>
      </w:r>
      <w:bookmarkEnd w:id="11"/>
    </w:p>
    <w:p w14:paraId="23416454" w14:textId="77777777" w:rsidR="005F07DD" w:rsidRPr="00324D80" w:rsidRDefault="00367185">
      <w:pPr>
        <w:spacing w:before="100" w:after="100" w:line="240" w:lineRule="exact"/>
        <w:rPr>
          <w:rFonts w:ascii="宋体" w:eastAsia="宋体" w:hAnsi="宋体" w:cs="宋体" w:hint="eastAsia"/>
          <w:sz w:val="18"/>
          <w:szCs w:val="18"/>
        </w:rPr>
      </w:pPr>
      <w:r w:rsidRPr="00324D80">
        <w:rPr>
          <w:rFonts w:ascii="宋体" w:eastAsia="宋体" w:hAnsi="宋体" w:cs="宋体"/>
          <w:sz w:val="18"/>
          <w:szCs w:val="18"/>
        </w:rPr>
        <w:t xml:space="preserve">□适用 </w:t>
      </w:r>
      <w:r w:rsidRPr="00324D80">
        <w:rPr>
          <w:rFonts w:ascii="宋体" w:eastAsia="宋体" w:hAnsi="宋体" w:cs="宋体"/>
          <w:sz w:val="18"/>
          <w:szCs w:val="18"/>
        </w:rPr>
        <w:sym w:font="Wingdings 2" w:char="F052"/>
      </w:r>
      <w:r w:rsidRPr="00324D80">
        <w:rPr>
          <w:rFonts w:ascii="宋体" w:eastAsia="宋体" w:hAnsi="宋体" w:cs="宋体"/>
          <w:sz w:val="18"/>
          <w:szCs w:val="18"/>
        </w:rPr>
        <w:t>不适用</w:t>
      </w:r>
    </w:p>
    <w:p w14:paraId="1EB2AAA8" w14:textId="77777777" w:rsidR="005F07DD" w:rsidRPr="00324D80" w:rsidRDefault="00367185">
      <w:pPr>
        <w:pStyle w:val="2"/>
        <w:spacing w:before="300" w:after="300" w:line="320" w:lineRule="exact"/>
        <w:rPr>
          <w:rFonts w:ascii="宋体" w:eastAsia="宋体" w:hAnsi="宋体" w:cs="宋体" w:hint="eastAsia"/>
          <w:b/>
          <w:bCs/>
          <w:sz w:val="24"/>
          <w:szCs w:val="24"/>
        </w:rPr>
      </w:pPr>
      <w:bookmarkStart w:id="12" w:name="_Toc988901"/>
      <w:r w:rsidRPr="00324D80">
        <w:rPr>
          <w:rFonts w:ascii="宋体" w:eastAsia="宋体" w:hAnsi="宋体" w:cs="宋体"/>
          <w:b/>
          <w:bCs/>
          <w:sz w:val="24"/>
          <w:szCs w:val="24"/>
        </w:rPr>
        <w:t>三、重要事项</w:t>
      </w:r>
      <w:bookmarkEnd w:id="12"/>
    </w:p>
    <w:p w14:paraId="4749B517" w14:textId="77777777" w:rsidR="0021464D" w:rsidRPr="00324D80" w:rsidRDefault="00367185">
      <w:pPr>
        <w:pStyle w:val="a3"/>
        <w:divId w:val="1598636409"/>
        <w:rPr>
          <w:rFonts w:hint="eastAsia"/>
        </w:rPr>
      </w:pPr>
      <w:r w:rsidRPr="00324D80">
        <w:rPr>
          <w:rFonts w:hint="eastAsia"/>
          <w:color w:val="000000"/>
          <w:sz w:val="18"/>
          <w:szCs w:val="18"/>
          <w:shd w:val="clear" w:color="auto" w:fill="FFFFFF"/>
        </w:rPr>
        <w:t>1、公司积极监督江西赛酷新材料有限公司及其原股东履行回购义务。2023年，江西</w:t>
      </w:r>
      <w:proofErr w:type="gramStart"/>
      <w:r w:rsidRPr="00324D80">
        <w:rPr>
          <w:rFonts w:hint="eastAsia"/>
          <w:color w:val="000000"/>
          <w:sz w:val="18"/>
          <w:szCs w:val="18"/>
          <w:shd w:val="clear" w:color="auto" w:fill="FFFFFF"/>
        </w:rPr>
        <w:t>赛酷因净</w:t>
      </w:r>
      <w:proofErr w:type="gramEnd"/>
      <w:r w:rsidRPr="00324D80">
        <w:rPr>
          <w:rFonts w:hint="eastAsia"/>
          <w:color w:val="000000"/>
          <w:sz w:val="18"/>
          <w:szCs w:val="18"/>
          <w:shd w:val="clear" w:color="auto" w:fill="FFFFFF"/>
        </w:rPr>
        <w:t>利润低于承诺触发了股权回购条款。截至2025年12月31日，公司累计收到江西赛</w:t>
      </w:r>
      <w:proofErr w:type="gramStart"/>
      <w:r w:rsidRPr="00324D80">
        <w:rPr>
          <w:rFonts w:hint="eastAsia"/>
          <w:color w:val="000000"/>
          <w:sz w:val="18"/>
          <w:szCs w:val="18"/>
          <w:shd w:val="clear" w:color="auto" w:fill="FFFFFF"/>
        </w:rPr>
        <w:t>酷实际</w:t>
      </w:r>
      <w:proofErr w:type="gramEnd"/>
      <w:r w:rsidRPr="00324D80">
        <w:rPr>
          <w:rFonts w:hint="eastAsia"/>
          <w:color w:val="000000"/>
          <w:sz w:val="18"/>
          <w:szCs w:val="18"/>
          <w:shd w:val="clear" w:color="auto" w:fill="FFFFFF"/>
        </w:rPr>
        <w:t>控制人王迎春、刘娟娟支付的股权回购</w:t>
      </w:r>
      <w:proofErr w:type="gramStart"/>
      <w:r w:rsidRPr="00324D80">
        <w:rPr>
          <w:rFonts w:hint="eastAsia"/>
          <w:color w:val="000000"/>
          <w:sz w:val="18"/>
          <w:szCs w:val="18"/>
          <w:shd w:val="clear" w:color="auto" w:fill="FFFFFF"/>
        </w:rPr>
        <w:t>意向金</w:t>
      </w:r>
      <w:proofErr w:type="gramEnd"/>
      <w:r w:rsidRPr="00324D80">
        <w:rPr>
          <w:rFonts w:hint="eastAsia"/>
          <w:color w:val="000000"/>
          <w:sz w:val="18"/>
          <w:szCs w:val="18"/>
          <w:shd w:val="clear" w:color="auto" w:fill="FFFFFF"/>
        </w:rPr>
        <w:t>1,295万元。目前，公司将继续保留按合同要求江西</w:t>
      </w:r>
      <w:proofErr w:type="gramStart"/>
      <w:r w:rsidRPr="00324D80">
        <w:rPr>
          <w:rFonts w:hint="eastAsia"/>
          <w:color w:val="000000"/>
          <w:sz w:val="18"/>
          <w:szCs w:val="18"/>
          <w:shd w:val="clear" w:color="auto" w:fill="FFFFFF"/>
        </w:rPr>
        <w:t>赛酷及相关</w:t>
      </w:r>
      <w:proofErr w:type="gramEnd"/>
      <w:r w:rsidRPr="00324D80">
        <w:rPr>
          <w:rFonts w:hint="eastAsia"/>
          <w:color w:val="000000"/>
          <w:sz w:val="18"/>
          <w:szCs w:val="18"/>
          <w:shd w:val="clear" w:color="auto" w:fill="FFFFFF"/>
        </w:rPr>
        <w:t>方回购公司所持20.10%股权的权利。具体内容详见公司披露于《证券时报》《中国证券报》及巨潮资讯网</w:t>
      </w:r>
      <w:hyperlink r:id="rId11" w:history="1">
        <w:r w:rsidR="0021464D" w:rsidRPr="00324D80">
          <w:rPr>
            <w:rStyle w:val="a4"/>
            <w:rFonts w:hint="eastAsia"/>
            <w:sz w:val="18"/>
            <w:szCs w:val="18"/>
            <w:shd w:val="clear" w:color="auto" w:fill="FFFFFF"/>
          </w:rPr>
          <w:t>http://www.cninfo.com.cn</w:t>
        </w:r>
      </w:hyperlink>
      <w:r w:rsidRPr="00324D80">
        <w:rPr>
          <w:rFonts w:hint="eastAsia"/>
          <w:color w:val="000000"/>
          <w:sz w:val="18"/>
          <w:szCs w:val="18"/>
          <w:shd w:val="clear" w:color="auto" w:fill="FFFFFF"/>
        </w:rPr>
        <w:t>的相关公告。</w:t>
      </w:r>
    </w:p>
    <w:sectPr w:rsidR="0021464D" w:rsidRPr="00324D80">
      <w:headerReference w:type="default" r:id="rId12"/>
      <w:footerReference w:type="default" r:id="rId13"/>
      <w:pgSz w:w="11905" w:h="16840"/>
      <w:pgMar w:top="1440" w:right="1134" w:bottom="1440" w:left="1134" w:header="850"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D5509" w14:textId="77777777" w:rsidR="00A3292A" w:rsidRDefault="00A3292A">
      <w:pPr>
        <w:spacing w:after="0" w:line="240" w:lineRule="auto"/>
        <w:rPr>
          <w:rFonts w:hint="eastAsia"/>
        </w:rPr>
      </w:pPr>
      <w:r>
        <w:separator/>
      </w:r>
    </w:p>
  </w:endnote>
  <w:endnote w:type="continuationSeparator" w:id="0">
    <w:p w14:paraId="0E0B46D0" w14:textId="77777777" w:rsidR="00A3292A" w:rsidRDefault="00A3292A">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77CE4" w14:textId="77777777" w:rsidR="005F07DD" w:rsidRDefault="00367185">
    <w:pPr>
      <w:pStyle w:val="fotter1"/>
      <w:rPr>
        <w:rFonts w:hint="eastAsia"/>
      </w:rPr>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B9F1A" w14:textId="77777777" w:rsidR="00A3292A" w:rsidRDefault="00A3292A">
      <w:pPr>
        <w:spacing w:after="0" w:line="240" w:lineRule="auto"/>
        <w:rPr>
          <w:rFonts w:hint="eastAsia"/>
        </w:rPr>
      </w:pPr>
      <w:r>
        <w:separator/>
      </w:r>
    </w:p>
  </w:footnote>
  <w:footnote w:type="continuationSeparator" w:id="0">
    <w:p w14:paraId="4AD979A9" w14:textId="77777777" w:rsidR="00A3292A" w:rsidRDefault="00A3292A">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E02D2" w14:textId="77777777" w:rsidR="005F07DD" w:rsidRDefault="00367185">
    <w:pPr>
      <w:pStyle w:val="Header1"/>
      <w:pBdr>
        <w:bottom w:val="single" w:sz="6" w:space="1" w:color="auto"/>
      </w:pBdr>
      <w:rPr>
        <w:rFonts w:hint="eastAsia"/>
      </w:rPr>
    </w:pPr>
    <w:proofErr w:type="gramStart"/>
    <w:r>
      <w:t>浙江威星智能仪表</w:t>
    </w:r>
    <w:proofErr w:type="gramEnd"/>
    <w:r>
      <w:t>股份有限公司2025年年度报告摘要</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5F07DD"/>
    <w:rsid w:val="0021464D"/>
    <w:rsid w:val="00324D80"/>
    <w:rsid w:val="00367185"/>
    <w:rsid w:val="004D1E82"/>
    <w:rsid w:val="0056744C"/>
    <w:rsid w:val="005A66DC"/>
    <w:rsid w:val="005F07DD"/>
    <w:rsid w:val="00877E0E"/>
    <w:rsid w:val="009F7F7D"/>
    <w:rsid w:val="00A3292A"/>
    <w:rsid w:val="00DE34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1C52E5"/>
  <w15:docId w15:val="{44D6F92F-323C-4344-83AA-15D4D7C0C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uiPriority w:val="9"/>
    <w:unhideWhenUsed/>
    <w:qFormat/>
    <w:pPr>
      <w:keepNext/>
      <w:keepLines/>
      <w:spacing w:before="156" w:after="156" w:line="240" w:lineRule="auto"/>
      <w:outlineLvl w:val="1"/>
    </w:pPr>
    <w:rPr>
      <w:sz w:val="21"/>
      <w:szCs w:val="21"/>
    </w:rPr>
  </w:style>
  <w:style w:type="paragraph" w:styleId="3">
    <w:name w:val="heading 3"/>
    <w:basedOn w:val="a"/>
    <w:next w:val="a"/>
    <w:uiPriority w:val="9"/>
    <w:unhideWhenUsed/>
    <w:qFormat/>
    <w:rsid w:val="00B74129"/>
    <w:pPr>
      <w:keepNext/>
      <w:keepLines/>
      <w:spacing w:before="300" w:after="300" w:line="241" w:lineRule="auto"/>
      <w:jc w:val="both"/>
      <w:outlineLvl w:val="2"/>
    </w:pPr>
    <w:rPr>
      <w:rFonts w:eastAsia="宋体"/>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1">
    <w:name w:val="Header 1"/>
    <w:pPr>
      <w:jc w:val="right"/>
    </w:pPr>
    <w:rPr>
      <w:rFonts w:ascii="宋体" w:eastAsia="宋体"/>
      <w:sz w:val="18"/>
      <w:szCs w:val="18"/>
    </w:rPr>
  </w:style>
  <w:style w:type="paragraph" w:customStyle="1" w:styleId="headingh1">
    <w:name w:val="heading h1"/>
    <w:basedOn w:val="a"/>
    <w:next w:val="a"/>
    <w:uiPriority w:val="9"/>
    <w:qFormat/>
    <w:pPr>
      <w:keepNext/>
      <w:keepLines/>
      <w:spacing w:before="240" w:after="240" w:line="578" w:lineRule="auto"/>
      <w:outlineLvl w:val="0"/>
    </w:pPr>
    <w:rPr>
      <w:kern w:val="44"/>
      <w:sz w:val="44"/>
      <w:szCs w:val="44"/>
    </w:rPr>
  </w:style>
  <w:style w:type="paragraph" w:customStyle="1" w:styleId="fotter1">
    <w:name w:val="fotter 1"/>
    <w:pPr>
      <w:jc w:val="right"/>
    </w:pPr>
    <w:rPr>
      <w:rFonts w:ascii="宋体" w:eastAsia="宋体"/>
      <w:sz w:val="18"/>
      <w:szCs w:val="18"/>
    </w:rPr>
  </w:style>
  <w:style w:type="paragraph" w:styleId="TOC1">
    <w:name w:val="toc 1"/>
    <w:basedOn w:val="a"/>
    <w:next w:val="a"/>
    <w:autoRedefine/>
    <w:uiPriority w:val="39"/>
  </w:style>
  <w:style w:type="paragraph" w:styleId="TOC2">
    <w:name w:val="toc 2"/>
    <w:basedOn w:val="a"/>
    <w:next w:val="a"/>
    <w:autoRedefine/>
    <w:uiPriority w:val="39"/>
    <w:unhideWhenUsed/>
    <w:pPr>
      <w:ind w:leftChars="200" w:left="420"/>
    </w:pPr>
  </w:style>
  <w:style w:type="paragraph" w:styleId="a3">
    <w:name w:val="Normal (Web)"/>
    <w:basedOn w:val="a"/>
    <w:uiPriority w:val="99"/>
    <w:semiHidden/>
    <w:unhideWhenUsed/>
    <w:pPr>
      <w:widowControl/>
      <w:spacing w:before="100" w:beforeAutospacing="1" w:after="100" w:afterAutospacing="1" w:line="240" w:lineRule="auto"/>
    </w:pPr>
    <w:rPr>
      <w:rFonts w:ascii="宋体" w:eastAsia="宋体" w:hAnsi="宋体" w:cs="宋体"/>
      <w:kern w:val="0"/>
      <w:sz w:val="24"/>
      <w14:ligatures w14:val="none"/>
    </w:rPr>
  </w:style>
  <w:style w:type="character" w:styleId="a4">
    <w:name w:val="Hyperlink"/>
    <w:basedOn w:val="a0"/>
    <w:uiPriority w:val="99"/>
    <w:semiHidden/>
    <w:unhideWhenUs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8636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cninfo.com.cn"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2487</Words>
  <Characters>2986</Characters>
  <Application>Microsoft Office Word</Application>
  <DocSecurity>0</DocSecurity>
  <Lines>229</Lines>
  <Paragraphs>273</Paragraphs>
  <ScaleCrop>false</ScaleCrop>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xiao hui</cp:lastModifiedBy>
  <cp:revision>5</cp:revision>
  <dcterms:created xsi:type="dcterms:W3CDTF">2026-04-24T01:43:00Z</dcterms:created>
  <dcterms:modified xsi:type="dcterms:W3CDTF">2026-04-25T08:39:00Z</dcterms:modified>
</cp:coreProperties>
</file>