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31A" w14:textId="77777777" w:rsidR="00801551" w:rsidRDefault="00000000">
      <w:pPr>
        <w:ind w:firstLineChars="100" w:firstLine="240"/>
        <w:rPr>
          <w:rFonts w:ascii="宋体" w:hAnsi="宋体" w:hint="eastAsia"/>
          <w:sz w:val="24"/>
        </w:rPr>
      </w:pPr>
      <w:r>
        <w:rPr>
          <w:rFonts w:ascii="宋体" w:hAnsi="宋体"/>
          <w:sz w:val="24"/>
        </w:rPr>
        <w:t>证券代码：002849          证券简称</w:t>
      </w:r>
      <w:r>
        <w:rPr>
          <w:rFonts w:ascii="宋体" w:hAnsi="宋体" w:hint="eastAsia"/>
          <w:sz w:val="24"/>
        </w:rPr>
        <w:t xml:space="preserve">：威星智能 </w:t>
      </w:r>
      <w:r>
        <w:rPr>
          <w:rFonts w:ascii="宋体" w:hAnsi="宋体"/>
          <w:sz w:val="24"/>
        </w:rPr>
        <w:t xml:space="preserve">    </w:t>
      </w:r>
      <w:r>
        <w:rPr>
          <w:rFonts w:ascii="宋体" w:hAnsi="宋体" w:hint="eastAsia"/>
          <w:sz w:val="24"/>
        </w:rPr>
        <w:t>公告编号：2026</w:t>
      </w:r>
      <w:r>
        <w:rPr>
          <w:rFonts w:ascii="宋体" w:hAnsi="宋体"/>
          <w:sz w:val="24"/>
        </w:rPr>
        <w:t>-0</w:t>
      </w:r>
      <w:r>
        <w:rPr>
          <w:rFonts w:ascii="宋体" w:hAnsi="宋体" w:hint="eastAsia"/>
          <w:sz w:val="24"/>
        </w:rPr>
        <w:t>17</w:t>
      </w:r>
    </w:p>
    <w:p w14:paraId="3D0BF96D" w14:textId="77777777" w:rsidR="00801551" w:rsidRDefault="00801551">
      <w:pPr>
        <w:jc w:val="center"/>
        <w:rPr>
          <w:rFonts w:ascii="宋体" w:hAnsi="宋体" w:hint="eastAsia"/>
          <w:b/>
          <w:sz w:val="28"/>
        </w:rPr>
      </w:pPr>
    </w:p>
    <w:p w14:paraId="0F6CA38A" w14:textId="77777777" w:rsidR="00801551" w:rsidRDefault="00000000">
      <w:pPr>
        <w:spacing w:line="360" w:lineRule="auto"/>
        <w:jc w:val="center"/>
        <w:rPr>
          <w:rFonts w:ascii="宋体" w:hAnsi="宋体" w:hint="eastAsia"/>
          <w:b/>
          <w:sz w:val="28"/>
        </w:rPr>
      </w:pPr>
      <w:r>
        <w:rPr>
          <w:rFonts w:ascii="宋体" w:hAnsi="宋体"/>
          <w:b/>
          <w:sz w:val="28"/>
        </w:rPr>
        <w:t>浙江威星智能</w:t>
      </w:r>
      <w:r>
        <w:rPr>
          <w:rFonts w:ascii="宋体" w:hAnsi="宋体" w:hint="eastAsia"/>
          <w:b/>
          <w:sz w:val="28"/>
        </w:rPr>
        <w:t>仪表</w:t>
      </w:r>
      <w:r>
        <w:rPr>
          <w:rFonts w:ascii="宋体" w:hAnsi="宋体"/>
          <w:b/>
          <w:sz w:val="28"/>
        </w:rPr>
        <w:t>股份有限公司</w:t>
      </w:r>
    </w:p>
    <w:p w14:paraId="55CAAFE9" w14:textId="77777777" w:rsidR="00801551" w:rsidRDefault="00000000">
      <w:pPr>
        <w:spacing w:line="360" w:lineRule="auto"/>
        <w:jc w:val="center"/>
        <w:rPr>
          <w:rFonts w:ascii="宋体" w:hAnsi="宋体" w:hint="eastAsia"/>
          <w:b/>
          <w:sz w:val="28"/>
        </w:rPr>
      </w:pPr>
      <w:r>
        <w:rPr>
          <w:rFonts w:ascii="宋体" w:hAnsi="宋体" w:hint="eastAsia"/>
          <w:b/>
          <w:sz w:val="28"/>
        </w:rPr>
        <w:t>关于2026年度</w:t>
      </w:r>
      <w:bookmarkStart w:id="0" w:name="OLE_LINK4"/>
      <w:r>
        <w:rPr>
          <w:rFonts w:ascii="宋体" w:hAnsi="宋体" w:hint="eastAsia"/>
          <w:b/>
          <w:sz w:val="28"/>
        </w:rPr>
        <w:t>日常关联交易预计</w:t>
      </w:r>
      <w:bookmarkEnd w:id="0"/>
      <w:r>
        <w:rPr>
          <w:rFonts w:ascii="宋体" w:hAnsi="宋体" w:hint="eastAsia"/>
          <w:b/>
          <w:sz w:val="28"/>
        </w:rPr>
        <w:t>的公告</w:t>
      </w:r>
    </w:p>
    <w:p w14:paraId="6E4FCBF6" w14:textId="77777777" w:rsidR="00801551" w:rsidRDefault="00801551">
      <w:pPr>
        <w:spacing w:line="360" w:lineRule="auto"/>
        <w:jc w:val="center"/>
        <w:rPr>
          <w:rFonts w:ascii="宋体" w:hAnsi="宋体" w:cs="Times New Roman" w:hint="eastAsia"/>
          <w:b/>
          <w:bCs/>
          <w:sz w:val="30"/>
          <w:szCs w:val="30"/>
          <w:u w:color="FF0000"/>
        </w:rPr>
      </w:pPr>
      <w:bookmarkStart w:id="1" w:name="OLE_LINK1"/>
    </w:p>
    <w:bookmarkEnd w:id="1"/>
    <w:p w14:paraId="061E5631" w14:textId="77777777" w:rsidR="00801551" w:rsidRDefault="00000000">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hAnsi="宋体" w:cs="宋体" w:hint="eastAsia"/>
          <w:b/>
          <w:kern w:val="0"/>
          <w:sz w:val="24"/>
          <w:szCs w:val="24"/>
        </w:rPr>
      </w:pPr>
      <w:r>
        <w:rPr>
          <w:rFonts w:ascii="宋体" w:hAnsi="宋体" w:cs="宋体" w:hint="eastAsia"/>
          <w:b/>
          <w:kern w:val="0"/>
          <w:sz w:val="24"/>
        </w:rPr>
        <w:t>本公司及董事会全体成员</w:t>
      </w:r>
      <w:r>
        <w:rPr>
          <w:rFonts w:ascii="宋体" w:hAnsi="宋体" w:cs="宋体"/>
          <w:b/>
          <w:kern w:val="0"/>
          <w:sz w:val="24"/>
        </w:rPr>
        <w:t>保证信息披露的内容真实、准确、完整，没有虚假</w:t>
      </w:r>
      <w:r>
        <w:rPr>
          <w:rFonts w:ascii="宋体" w:hAnsi="宋体" w:cs="宋体"/>
          <w:b/>
          <w:kern w:val="0"/>
          <w:sz w:val="24"/>
          <w:szCs w:val="24"/>
        </w:rPr>
        <w:t>记载、误导性陈述或重大遗漏。</w:t>
      </w:r>
    </w:p>
    <w:p w14:paraId="4BE005BA" w14:textId="77777777" w:rsidR="00801551" w:rsidRDefault="00000000">
      <w:pPr>
        <w:spacing w:before="100" w:beforeAutospacing="1" w:line="360" w:lineRule="auto"/>
        <w:ind w:firstLineChars="200" w:firstLine="482"/>
        <w:jc w:val="left"/>
        <w:rPr>
          <w:rFonts w:ascii="宋体" w:hAnsi="宋体" w:hint="eastAsia"/>
          <w:b/>
          <w:sz w:val="24"/>
        </w:rPr>
      </w:pPr>
      <w:bookmarkStart w:id="2" w:name="OLE_LINK6"/>
      <w:r>
        <w:rPr>
          <w:rFonts w:ascii="宋体" w:hAnsi="宋体" w:hint="eastAsia"/>
          <w:b/>
          <w:sz w:val="24"/>
        </w:rPr>
        <w:t>一</w:t>
      </w:r>
      <w:r>
        <w:rPr>
          <w:rFonts w:ascii="宋体" w:hAnsi="宋体"/>
          <w:b/>
          <w:sz w:val="24"/>
        </w:rPr>
        <w:t>、日常</w:t>
      </w:r>
      <w:r>
        <w:rPr>
          <w:rFonts w:ascii="宋体" w:hAnsi="宋体" w:hint="eastAsia"/>
          <w:b/>
          <w:sz w:val="24"/>
        </w:rPr>
        <w:t>关</w:t>
      </w:r>
      <w:r>
        <w:rPr>
          <w:rFonts w:ascii="宋体" w:hAnsi="宋体"/>
          <w:b/>
          <w:sz w:val="24"/>
        </w:rPr>
        <w:t>联交易</w:t>
      </w:r>
      <w:r>
        <w:rPr>
          <w:rFonts w:ascii="宋体" w:hAnsi="宋体" w:hint="eastAsia"/>
          <w:b/>
          <w:sz w:val="24"/>
        </w:rPr>
        <w:t>基本</w:t>
      </w:r>
      <w:r>
        <w:rPr>
          <w:rFonts w:ascii="宋体" w:hAnsi="宋体"/>
          <w:b/>
          <w:sz w:val="24"/>
        </w:rPr>
        <w:t>情况</w:t>
      </w:r>
    </w:p>
    <w:p w14:paraId="6C48A049" w14:textId="77777777" w:rsidR="00801551" w:rsidRDefault="00000000">
      <w:pPr>
        <w:spacing w:line="360" w:lineRule="auto"/>
        <w:ind w:firstLineChars="200" w:firstLine="482"/>
        <w:jc w:val="left"/>
        <w:rPr>
          <w:rFonts w:ascii="宋体" w:hAnsi="宋体" w:hint="eastAsia"/>
          <w:b/>
          <w:sz w:val="24"/>
        </w:rPr>
      </w:pPr>
      <w:r>
        <w:rPr>
          <w:rFonts w:ascii="宋体" w:hAnsi="宋体" w:hint="eastAsia"/>
          <w:b/>
          <w:sz w:val="24"/>
        </w:rPr>
        <w:t>（一）日常关</w:t>
      </w:r>
      <w:r>
        <w:rPr>
          <w:rFonts w:ascii="宋体" w:hAnsi="宋体"/>
          <w:b/>
          <w:sz w:val="24"/>
        </w:rPr>
        <w:t>联交易概述</w:t>
      </w:r>
    </w:p>
    <w:p w14:paraId="393A0A0E" w14:textId="77777777" w:rsidR="00801551" w:rsidRDefault="00000000">
      <w:pPr>
        <w:spacing w:line="360" w:lineRule="auto"/>
        <w:ind w:firstLineChars="200" w:firstLine="480"/>
        <w:jc w:val="left"/>
        <w:rPr>
          <w:rFonts w:ascii="宋体" w:hAnsi="宋体" w:hint="eastAsia"/>
          <w:sz w:val="24"/>
        </w:rPr>
      </w:pPr>
      <w:r>
        <w:rPr>
          <w:rFonts w:ascii="宋体" w:hAnsi="宋体" w:hint="eastAsia"/>
          <w:sz w:val="24"/>
        </w:rPr>
        <w:t>1、浙江威星智能仪表股份有限公司（以下简称“公司”或“威星智能”）根据日常经营和业务发展需要，公司及控股子公司预计2026年度内拟与关联方</w:t>
      </w:r>
      <w:r>
        <w:rPr>
          <w:rFonts w:ascii="宋体" w:hAnsi="宋体" w:hint="eastAsia"/>
          <w:color w:val="000000" w:themeColor="text1"/>
          <w:sz w:val="24"/>
        </w:rPr>
        <w:t>中国燃气控股有限公司下属的公司、深圳市中燃科技有限公司（以下简称“中燃科技”）及直接或间接控制中燃科技的其他组织及上述组织直接或间接控制的其他企业、深圳市睿荔科技有限公司（以下简称“睿荔科技”）、苏州吾爱易达物联网有限公司（以下简称“吾爱易达”）</w:t>
      </w:r>
      <w:r>
        <w:rPr>
          <w:rFonts w:ascii="宋体" w:hAnsi="宋体" w:hint="eastAsia"/>
          <w:sz w:val="24"/>
        </w:rPr>
        <w:t>等发生采购原材料、销售产品及提供服务等关联交易，预计日常关联交易总额不超过</w:t>
      </w:r>
      <w:r>
        <w:rPr>
          <w:rFonts w:ascii="宋体" w:hAnsi="宋体" w:hint="eastAsia"/>
          <w:color w:val="000000" w:themeColor="text1"/>
          <w:sz w:val="24"/>
        </w:rPr>
        <w:t>76,000万元，其中向关联方采购金额预计不超过15,000</w:t>
      </w:r>
      <w:r>
        <w:rPr>
          <w:rFonts w:ascii="宋体" w:hAnsi="宋体" w:hint="eastAsia"/>
          <w:sz w:val="24"/>
        </w:rPr>
        <w:t>万元，向关联方销售金额预计不超过61,000万元。</w:t>
      </w:r>
    </w:p>
    <w:p w14:paraId="02A0868B" w14:textId="77777777" w:rsidR="00801551" w:rsidRDefault="00000000">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、该《关于2026年度日常关联交易预计的议案》</w:t>
      </w:r>
      <w:r>
        <w:rPr>
          <w:rFonts w:ascii="宋体" w:hAnsi="宋体"/>
          <w:sz w:val="24"/>
        </w:rPr>
        <w:t>于</w:t>
      </w:r>
      <w:r>
        <w:rPr>
          <w:rFonts w:ascii="宋体" w:hAnsi="宋体" w:hint="eastAsia"/>
          <w:sz w:val="24"/>
        </w:rPr>
        <w:t>2026年4月24日经公司独立董事专门委员会2026年第一次会议审议通过后，提交第六届董事会第六次会议审议，关联董事黄华兵先生回避表决，出席会议的其余6名非关联董事全票表决通过。</w:t>
      </w:r>
    </w:p>
    <w:p w14:paraId="63563299" w14:textId="77777777" w:rsidR="00801551" w:rsidRDefault="00000000">
      <w:pPr>
        <w:spacing w:line="360" w:lineRule="auto"/>
        <w:ind w:firstLineChars="200" w:firstLine="480"/>
        <w:jc w:val="left"/>
        <w:rPr>
          <w:rFonts w:ascii="宋体" w:hAnsi="宋体" w:hint="eastAsia"/>
          <w:sz w:val="24"/>
        </w:rPr>
      </w:pPr>
      <w:r>
        <w:rPr>
          <w:rFonts w:ascii="宋体" w:hAnsi="宋体" w:hint="eastAsia"/>
          <w:sz w:val="24"/>
        </w:rPr>
        <w:t>3、依据《深圳证券交易所股票上市规则》和《公司章程》等有关规定，本次关联交易尚需提交公司2025年</w:t>
      </w:r>
      <w:r>
        <w:rPr>
          <w:rFonts w:ascii="宋体" w:hAnsi="宋体"/>
          <w:sz w:val="24"/>
        </w:rPr>
        <w:t>年度</w:t>
      </w:r>
      <w:r>
        <w:rPr>
          <w:rFonts w:ascii="宋体" w:hAnsi="宋体" w:hint="eastAsia"/>
          <w:sz w:val="24"/>
        </w:rPr>
        <w:t>股东会审议，关联股东将回避表决。</w:t>
      </w:r>
    </w:p>
    <w:p w14:paraId="3D6F6E28" w14:textId="77777777" w:rsidR="00801551" w:rsidRDefault="00000000">
      <w:pPr>
        <w:spacing w:line="360" w:lineRule="auto"/>
        <w:ind w:firstLineChars="200" w:firstLine="482"/>
        <w:jc w:val="left"/>
        <w:rPr>
          <w:rFonts w:ascii="宋体" w:hAnsi="宋体" w:hint="eastAsia"/>
          <w:b/>
          <w:sz w:val="24"/>
        </w:rPr>
      </w:pPr>
      <w:r>
        <w:rPr>
          <w:rFonts w:ascii="宋体" w:hAnsi="宋体" w:hint="eastAsia"/>
          <w:b/>
          <w:sz w:val="24"/>
        </w:rPr>
        <w:t>（二）预计日常关联交易类别和金额</w:t>
      </w:r>
    </w:p>
    <w:p w14:paraId="76E1D496" w14:textId="77777777" w:rsidR="00801551" w:rsidRDefault="00000000">
      <w:pPr>
        <w:spacing w:line="360" w:lineRule="auto"/>
        <w:ind w:firstLineChars="200" w:firstLine="420"/>
        <w:jc w:val="right"/>
        <w:rPr>
          <w:rFonts w:ascii="宋体" w:hAnsi="宋体" w:hint="eastAsia"/>
        </w:rPr>
      </w:pPr>
      <w:r>
        <w:rPr>
          <w:rFonts w:ascii="宋体" w:hAnsi="宋体" w:hint="eastAsia"/>
        </w:rPr>
        <w:t>单位：人民币 万元</w:t>
      </w:r>
    </w:p>
    <w:p w14:paraId="4872570B" w14:textId="77777777" w:rsidR="00801551" w:rsidRDefault="00801551">
      <w:pPr>
        <w:rPr>
          <w:rFonts w:ascii="宋体" w:hAnsi="宋体" w:hint="eastAsia"/>
        </w:rPr>
      </w:pPr>
    </w:p>
    <w:p w14:paraId="4B26F718" w14:textId="77777777" w:rsidR="00801551" w:rsidRDefault="00801551">
      <w:pPr>
        <w:jc w:val="right"/>
        <w:rPr>
          <w:rFonts w:ascii="宋体" w:hAnsi="宋体" w:hint="eastAsia"/>
        </w:rPr>
      </w:pPr>
    </w:p>
    <w:tbl>
      <w:tblPr>
        <w:tblStyle w:val="ad"/>
        <w:tblW w:w="10354" w:type="dxa"/>
        <w:jc w:val="center"/>
        <w:tblLayout w:type="fixed"/>
        <w:tblLook w:val="04A0" w:firstRow="1" w:lastRow="0" w:firstColumn="1" w:lastColumn="0" w:noHBand="0" w:noVBand="1"/>
      </w:tblPr>
      <w:tblGrid>
        <w:gridCol w:w="944"/>
        <w:gridCol w:w="2453"/>
        <w:gridCol w:w="1985"/>
        <w:gridCol w:w="992"/>
        <w:gridCol w:w="1134"/>
        <w:gridCol w:w="1428"/>
        <w:gridCol w:w="1418"/>
      </w:tblGrid>
      <w:tr w:rsidR="00801551" w14:paraId="43CE964A" w14:textId="77777777">
        <w:trPr>
          <w:trHeight w:val="983"/>
          <w:jc w:val="center"/>
        </w:trPr>
        <w:tc>
          <w:tcPr>
            <w:tcW w:w="944" w:type="dxa"/>
            <w:shd w:val="clear" w:color="auto" w:fill="D9D9D9" w:themeFill="background1" w:themeFillShade="D9"/>
          </w:tcPr>
          <w:p w14:paraId="50A58716" w14:textId="77777777" w:rsidR="00801551" w:rsidRDefault="00000000">
            <w:pPr>
              <w:pStyle w:val="Default"/>
              <w:jc w:val="center"/>
              <w:rPr>
                <w:rFonts w:hAnsi="宋体" w:hint="eastAsia"/>
                <w:b/>
                <w:bCs/>
                <w:noProof/>
                <w:sz w:val="21"/>
                <w:szCs w:val="21"/>
              </w:rPr>
            </w:pPr>
            <w:r>
              <w:rPr>
                <w:rFonts w:hAnsi="宋体" w:hint="eastAsia"/>
                <w:b/>
                <w:bCs/>
                <w:noProof/>
                <w:sz w:val="21"/>
                <w:szCs w:val="21"/>
              </w:rPr>
              <w:lastRenderedPageBreak/>
              <w:t>关联交易类别</w:t>
            </w:r>
          </w:p>
        </w:tc>
        <w:tc>
          <w:tcPr>
            <w:tcW w:w="2453" w:type="dxa"/>
            <w:shd w:val="clear" w:color="auto" w:fill="D9D9D9" w:themeFill="background1" w:themeFillShade="D9"/>
          </w:tcPr>
          <w:p w14:paraId="793C35EC" w14:textId="77777777" w:rsidR="00801551" w:rsidRDefault="00000000">
            <w:pPr>
              <w:pStyle w:val="Default"/>
              <w:jc w:val="center"/>
              <w:rPr>
                <w:rFonts w:hAnsi="宋体" w:hint="eastAsia"/>
                <w:b/>
                <w:bCs/>
                <w:noProof/>
                <w:sz w:val="21"/>
                <w:szCs w:val="21"/>
              </w:rPr>
            </w:pPr>
            <w:r>
              <w:rPr>
                <w:rFonts w:hAnsi="宋体" w:hint="eastAsia"/>
                <w:b/>
                <w:bCs/>
                <w:noProof/>
                <w:sz w:val="21"/>
                <w:szCs w:val="21"/>
              </w:rPr>
              <w:t>关联人</w:t>
            </w:r>
          </w:p>
        </w:tc>
        <w:tc>
          <w:tcPr>
            <w:tcW w:w="1985" w:type="dxa"/>
            <w:shd w:val="clear" w:color="auto" w:fill="D9D9D9" w:themeFill="background1" w:themeFillShade="D9"/>
          </w:tcPr>
          <w:p w14:paraId="15EDA442" w14:textId="77777777" w:rsidR="00801551" w:rsidRDefault="00000000">
            <w:pPr>
              <w:pStyle w:val="Default"/>
              <w:jc w:val="center"/>
              <w:rPr>
                <w:rFonts w:hAnsi="宋体" w:hint="eastAsia"/>
                <w:b/>
                <w:bCs/>
                <w:noProof/>
                <w:sz w:val="21"/>
                <w:szCs w:val="21"/>
              </w:rPr>
            </w:pPr>
            <w:r>
              <w:rPr>
                <w:rFonts w:hAnsi="宋体" w:hint="eastAsia"/>
                <w:b/>
                <w:bCs/>
                <w:noProof/>
                <w:sz w:val="21"/>
                <w:szCs w:val="21"/>
              </w:rPr>
              <w:t>关联交易内容</w:t>
            </w:r>
          </w:p>
        </w:tc>
        <w:tc>
          <w:tcPr>
            <w:tcW w:w="992" w:type="dxa"/>
            <w:shd w:val="clear" w:color="auto" w:fill="D9D9D9" w:themeFill="background1" w:themeFillShade="D9"/>
          </w:tcPr>
          <w:p w14:paraId="58C345D3" w14:textId="77777777" w:rsidR="00801551" w:rsidRDefault="00000000">
            <w:pPr>
              <w:pStyle w:val="Default"/>
              <w:jc w:val="center"/>
              <w:rPr>
                <w:rFonts w:hAnsi="宋体" w:hint="eastAsia"/>
                <w:b/>
                <w:bCs/>
                <w:noProof/>
                <w:color w:val="auto"/>
                <w:sz w:val="21"/>
                <w:szCs w:val="21"/>
              </w:rPr>
            </w:pPr>
            <w:r>
              <w:rPr>
                <w:rFonts w:hAnsi="宋体" w:hint="eastAsia"/>
                <w:b/>
                <w:bCs/>
                <w:noProof/>
                <w:sz w:val="21"/>
                <w:szCs w:val="21"/>
              </w:rPr>
              <w:t>关联交易定价原则</w:t>
            </w:r>
          </w:p>
        </w:tc>
        <w:tc>
          <w:tcPr>
            <w:tcW w:w="1134" w:type="dxa"/>
            <w:shd w:val="clear" w:color="auto" w:fill="D9D9D9" w:themeFill="background1" w:themeFillShade="D9"/>
          </w:tcPr>
          <w:p w14:paraId="565AA54A" w14:textId="77777777" w:rsidR="00801551" w:rsidRDefault="00000000">
            <w:pPr>
              <w:pStyle w:val="Default"/>
              <w:jc w:val="center"/>
              <w:rPr>
                <w:rFonts w:hAnsi="宋体" w:hint="eastAsia"/>
                <w:b/>
                <w:bCs/>
                <w:noProof/>
                <w:color w:val="auto"/>
                <w:sz w:val="21"/>
                <w:szCs w:val="21"/>
              </w:rPr>
            </w:pPr>
            <w:r>
              <w:rPr>
                <w:rFonts w:hAnsi="宋体" w:hint="eastAsia"/>
                <w:b/>
                <w:bCs/>
                <w:noProof/>
                <w:sz w:val="21"/>
                <w:szCs w:val="21"/>
              </w:rPr>
              <w:t>2026年预计金额</w:t>
            </w:r>
          </w:p>
        </w:tc>
        <w:tc>
          <w:tcPr>
            <w:tcW w:w="1428" w:type="dxa"/>
            <w:shd w:val="clear" w:color="auto" w:fill="D9D9D9" w:themeFill="background1" w:themeFillShade="D9"/>
          </w:tcPr>
          <w:p w14:paraId="6E83E876" w14:textId="77777777" w:rsidR="00801551" w:rsidRDefault="00000000">
            <w:pPr>
              <w:pStyle w:val="Default"/>
              <w:ind w:right="211"/>
              <w:jc w:val="right"/>
              <w:rPr>
                <w:rFonts w:hAnsi="宋体" w:hint="eastAsia"/>
                <w:b/>
                <w:bCs/>
                <w:noProof/>
                <w:color w:val="auto"/>
                <w:sz w:val="21"/>
                <w:szCs w:val="21"/>
              </w:rPr>
            </w:pPr>
            <w:r>
              <w:rPr>
                <w:rFonts w:hAnsi="宋体" w:hint="eastAsia"/>
                <w:b/>
                <w:bCs/>
                <w:noProof/>
                <w:sz w:val="21"/>
                <w:szCs w:val="21"/>
              </w:rPr>
              <w:t>年初截至披露日已发生金额</w:t>
            </w:r>
          </w:p>
        </w:tc>
        <w:tc>
          <w:tcPr>
            <w:tcW w:w="1418" w:type="dxa"/>
            <w:shd w:val="clear" w:color="auto" w:fill="D9D9D9" w:themeFill="background1" w:themeFillShade="D9"/>
          </w:tcPr>
          <w:p w14:paraId="5579FC3D" w14:textId="77777777" w:rsidR="00801551" w:rsidRDefault="00000000">
            <w:pPr>
              <w:pStyle w:val="Default"/>
              <w:jc w:val="center"/>
              <w:rPr>
                <w:rFonts w:hAnsi="宋体" w:hint="eastAsia"/>
                <w:b/>
                <w:bCs/>
                <w:noProof/>
                <w:sz w:val="21"/>
                <w:szCs w:val="21"/>
              </w:rPr>
            </w:pPr>
            <w:r>
              <w:rPr>
                <w:rFonts w:hAnsi="宋体" w:hint="eastAsia"/>
                <w:b/>
                <w:bCs/>
                <w:noProof/>
                <w:sz w:val="21"/>
                <w:szCs w:val="21"/>
              </w:rPr>
              <w:t>上年发生金额</w:t>
            </w:r>
          </w:p>
        </w:tc>
      </w:tr>
      <w:tr w:rsidR="00801551" w14:paraId="6CE5A523" w14:textId="77777777">
        <w:trPr>
          <w:trHeight w:val="239"/>
          <w:jc w:val="center"/>
        </w:trPr>
        <w:tc>
          <w:tcPr>
            <w:tcW w:w="944" w:type="dxa"/>
            <w:vAlign w:val="center"/>
          </w:tcPr>
          <w:p w14:paraId="67685E76"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向关联人销售产品、商品</w:t>
            </w:r>
          </w:p>
        </w:tc>
        <w:tc>
          <w:tcPr>
            <w:tcW w:w="2453" w:type="dxa"/>
            <w:vAlign w:val="center"/>
          </w:tcPr>
          <w:p w14:paraId="29FCBCF2"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中国燃气控股有限公司下属的公司</w:t>
            </w:r>
          </w:p>
        </w:tc>
        <w:tc>
          <w:tcPr>
            <w:tcW w:w="1985" w:type="dxa"/>
            <w:vAlign w:val="center"/>
          </w:tcPr>
          <w:p w14:paraId="5FE94EDA"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销售智能燃气表及管理系统、智能燃气表控制器、其他产品及提供服务等</w:t>
            </w:r>
          </w:p>
        </w:tc>
        <w:tc>
          <w:tcPr>
            <w:tcW w:w="992" w:type="dxa"/>
            <w:vAlign w:val="center"/>
          </w:tcPr>
          <w:p w14:paraId="1482F137" w14:textId="77777777" w:rsidR="00801551" w:rsidRDefault="00000000">
            <w:pPr>
              <w:jc w:val="center"/>
              <w:rPr>
                <w:rFonts w:ascii="宋体" w:hAnsi="宋体" w:hint="eastAsia"/>
                <w:color w:val="000000" w:themeColor="text1"/>
              </w:rPr>
            </w:pPr>
            <w:r>
              <w:rPr>
                <w:rFonts w:ascii="宋体" w:eastAsia="宋体" w:hAnsi="宋体" w:hint="eastAsia"/>
              </w:rPr>
              <w:t>市场价</w:t>
            </w:r>
          </w:p>
        </w:tc>
        <w:tc>
          <w:tcPr>
            <w:tcW w:w="1134" w:type="dxa"/>
            <w:vAlign w:val="center"/>
          </w:tcPr>
          <w:p w14:paraId="7E6C93A8" w14:textId="77777777" w:rsidR="00801551" w:rsidRDefault="00000000">
            <w:pPr>
              <w:jc w:val="right"/>
              <w:rPr>
                <w:rFonts w:ascii="宋体" w:hAnsi="宋体" w:hint="eastAsia"/>
              </w:rPr>
            </w:pPr>
            <w:r>
              <w:rPr>
                <w:rFonts w:ascii="宋体" w:eastAsia="宋体" w:hAnsi="宋体" w:hint="eastAsia"/>
              </w:rPr>
              <w:t>36,000</w:t>
            </w:r>
          </w:p>
        </w:tc>
        <w:tc>
          <w:tcPr>
            <w:tcW w:w="1428" w:type="dxa"/>
            <w:vAlign w:val="center"/>
          </w:tcPr>
          <w:p w14:paraId="26699B94" w14:textId="77777777" w:rsidR="00801551" w:rsidRDefault="00000000">
            <w:pPr>
              <w:jc w:val="right"/>
              <w:rPr>
                <w:rFonts w:ascii="宋体" w:hAnsi="宋体" w:hint="eastAsia"/>
              </w:rPr>
            </w:pPr>
            <w:r>
              <w:rPr>
                <w:rFonts w:ascii="宋体" w:hAnsi="宋体" w:hint="eastAsia"/>
              </w:rPr>
              <w:t>4,712.73</w:t>
            </w:r>
          </w:p>
        </w:tc>
        <w:tc>
          <w:tcPr>
            <w:tcW w:w="1418" w:type="dxa"/>
            <w:vAlign w:val="center"/>
          </w:tcPr>
          <w:p w14:paraId="3C8246DF" w14:textId="77777777" w:rsidR="00801551" w:rsidRDefault="00000000">
            <w:pPr>
              <w:jc w:val="right"/>
              <w:rPr>
                <w:rFonts w:ascii="宋体" w:hAnsi="宋体" w:hint="eastAsia"/>
              </w:rPr>
            </w:pPr>
            <w:r>
              <w:rPr>
                <w:rFonts w:ascii="宋体" w:eastAsia="宋体" w:hAnsi="宋体" w:hint="eastAsia"/>
              </w:rPr>
              <w:t>32,785.04</w:t>
            </w:r>
          </w:p>
        </w:tc>
      </w:tr>
      <w:tr w:rsidR="00801551" w14:paraId="5DDEAAAD" w14:textId="77777777">
        <w:trPr>
          <w:jc w:val="center"/>
        </w:trPr>
        <w:tc>
          <w:tcPr>
            <w:tcW w:w="944" w:type="dxa"/>
            <w:vAlign w:val="center"/>
          </w:tcPr>
          <w:p w14:paraId="40FD1E89"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向关联人销售产品、商品</w:t>
            </w:r>
          </w:p>
        </w:tc>
        <w:tc>
          <w:tcPr>
            <w:tcW w:w="2453" w:type="dxa"/>
            <w:vAlign w:val="center"/>
          </w:tcPr>
          <w:p w14:paraId="49893A1F"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睿荔科技</w:t>
            </w:r>
          </w:p>
        </w:tc>
        <w:tc>
          <w:tcPr>
            <w:tcW w:w="1985" w:type="dxa"/>
            <w:vAlign w:val="center"/>
          </w:tcPr>
          <w:p w14:paraId="308794A0"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销售智能燃气表及管理系统、智能燃气表控制器、其他产品及提供服务等</w:t>
            </w:r>
          </w:p>
        </w:tc>
        <w:tc>
          <w:tcPr>
            <w:tcW w:w="992" w:type="dxa"/>
            <w:vAlign w:val="center"/>
          </w:tcPr>
          <w:p w14:paraId="5C5D7E0A" w14:textId="77777777" w:rsidR="00801551" w:rsidRDefault="00000000">
            <w:pPr>
              <w:jc w:val="center"/>
              <w:rPr>
                <w:rFonts w:ascii="宋体" w:hAnsi="宋体" w:hint="eastAsia"/>
                <w:color w:val="000000" w:themeColor="text1"/>
              </w:rPr>
            </w:pPr>
            <w:r>
              <w:rPr>
                <w:rFonts w:ascii="宋体" w:eastAsia="宋体" w:hAnsi="宋体" w:hint="eastAsia"/>
              </w:rPr>
              <w:t>市场价</w:t>
            </w:r>
          </w:p>
        </w:tc>
        <w:tc>
          <w:tcPr>
            <w:tcW w:w="1134" w:type="dxa"/>
            <w:vAlign w:val="center"/>
          </w:tcPr>
          <w:p w14:paraId="09B91D27" w14:textId="77777777" w:rsidR="00801551" w:rsidRDefault="00000000">
            <w:pPr>
              <w:jc w:val="right"/>
              <w:rPr>
                <w:rFonts w:ascii="宋体" w:hAnsi="宋体" w:hint="eastAsia"/>
              </w:rPr>
            </w:pPr>
            <w:r>
              <w:rPr>
                <w:rFonts w:ascii="宋体" w:eastAsia="宋体" w:hAnsi="宋体" w:hint="eastAsia"/>
              </w:rPr>
              <w:t>25,000</w:t>
            </w:r>
          </w:p>
        </w:tc>
        <w:tc>
          <w:tcPr>
            <w:tcW w:w="1428" w:type="dxa"/>
            <w:vAlign w:val="center"/>
          </w:tcPr>
          <w:p w14:paraId="1DA01AA4" w14:textId="77777777" w:rsidR="00801551" w:rsidRDefault="00000000">
            <w:pPr>
              <w:jc w:val="right"/>
              <w:rPr>
                <w:rFonts w:ascii="宋体" w:hAnsi="宋体" w:hint="eastAsia"/>
              </w:rPr>
            </w:pPr>
            <w:r>
              <w:rPr>
                <w:rFonts w:ascii="宋体" w:hAnsi="宋体" w:hint="eastAsia"/>
              </w:rPr>
              <w:t>5,646.49</w:t>
            </w:r>
          </w:p>
        </w:tc>
        <w:tc>
          <w:tcPr>
            <w:tcW w:w="1418" w:type="dxa"/>
            <w:vAlign w:val="center"/>
          </w:tcPr>
          <w:p w14:paraId="222AC545" w14:textId="77777777" w:rsidR="00801551" w:rsidRDefault="00000000">
            <w:pPr>
              <w:jc w:val="right"/>
              <w:rPr>
                <w:rFonts w:ascii="宋体" w:hAnsi="宋体" w:hint="eastAsia"/>
              </w:rPr>
            </w:pPr>
            <w:r>
              <w:rPr>
                <w:rFonts w:ascii="宋体" w:eastAsia="宋体" w:hAnsi="宋体" w:hint="eastAsia"/>
              </w:rPr>
              <w:t>14,751.08</w:t>
            </w:r>
          </w:p>
        </w:tc>
      </w:tr>
      <w:tr w:rsidR="00801551" w14:paraId="6BE83200" w14:textId="77777777">
        <w:trPr>
          <w:jc w:val="center"/>
        </w:trPr>
        <w:tc>
          <w:tcPr>
            <w:tcW w:w="944" w:type="dxa"/>
            <w:vAlign w:val="center"/>
          </w:tcPr>
          <w:p w14:paraId="42469B0B" w14:textId="77777777" w:rsidR="00801551" w:rsidRDefault="00000000">
            <w:pPr>
              <w:jc w:val="center"/>
              <w:rPr>
                <w:rFonts w:ascii="宋体" w:hAnsi="宋体" w:hint="eastAsia"/>
                <w:color w:val="000000" w:themeColor="text1"/>
              </w:rPr>
            </w:pPr>
            <w:r>
              <w:rPr>
                <w:rFonts w:ascii="宋体" w:eastAsia="宋体" w:hAnsi="宋体" w:hint="eastAsia"/>
              </w:rPr>
              <w:t>向关联人采购商品</w:t>
            </w:r>
          </w:p>
        </w:tc>
        <w:tc>
          <w:tcPr>
            <w:tcW w:w="2453" w:type="dxa"/>
            <w:vAlign w:val="center"/>
          </w:tcPr>
          <w:p w14:paraId="29B6D9ED" w14:textId="77777777" w:rsidR="00801551" w:rsidRDefault="00000000">
            <w:pPr>
              <w:jc w:val="center"/>
              <w:rPr>
                <w:rFonts w:ascii="宋体" w:hAnsi="宋体" w:hint="eastAsia"/>
                <w:color w:val="000000" w:themeColor="text1"/>
              </w:rPr>
            </w:pPr>
            <w:r>
              <w:rPr>
                <w:rFonts w:ascii="宋体" w:eastAsia="宋体" w:hAnsi="宋体" w:hint="eastAsia"/>
              </w:rPr>
              <w:t>中燃科技及直接或间接控制中燃科技的其他组织及上述组织直接或间接控制的其他企业</w:t>
            </w:r>
          </w:p>
        </w:tc>
        <w:tc>
          <w:tcPr>
            <w:tcW w:w="1985" w:type="dxa"/>
            <w:vAlign w:val="center"/>
          </w:tcPr>
          <w:p w14:paraId="66D32646" w14:textId="77777777" w:rsidR="00801551" w:rsidRDefault="00000000">
            <w:pPr>
              <w:jc w:val="center"/>
              <w:rPr>
                <w:rFonts w:ascii="宋体" w:hAnsi="宋体" w:hint="eastAsia"/>
                <w:color w:val="000000" w:themeColor="text1"/>
              </w:rPr>
            </w:pPr>
            <w:r>
              <w:rPr>
                <w:rFonts w:ascii="宋体" w:eastAsia="宋体" w:hAnsi="宋体" w:hint="eastAsia"/>
              </w:rPr>
              <w:t>采购加密芯片、膜式燃气表基表、其他产品及服务等</w:t>
            </w:r>
          </w:p>
        </w:tc>
        <w:tc>
          <w:tcPr>
            <w:tcW w:w="992" w:type="dxa"/>
            <w:vAlign w:val="center"/>
          </w:tcPr>
          <w:p w14:paraId="4D7028B7" w14:textId="77777777" w:rsidR="00801551" w:rsidRDefault="00000000">
            <w:pPr>
              <w:jc w:val="center"/>
              <w:rPr>
                <w:rFonts w:ascii="宋体" w:hAnsi="宋体" w:hint="eastAsia"/>
                <w:color w:val="000000" w:themeColor="text1"/>
              </w:rPr>
            </w:pPr>
            <w:r>
              <w:rPr>
                <w:rFonts w:ascii="宋体" w:eastAsia="宋体" w:hAnsi="宋体" w:hint="eastAsia"/>
              </w:rPr>
              <w:t>市场价</w:t>
            </w:r>
          </w:p>
        </w:tc>
        <w:tc>
          <w:tcPr>
            <w:tcW w:w="1134" w:type="dxa"/>
            <w:vAlign w:val="center"/>
          </w:tcPr>
          <w:p w14:paraId="62D6D3CA" w14:textId="77777777" w:rsidR="00801551" w:rsidRDefault="00000000">
            <w:pPr>
              <w:jc w:val="right"/>
              <w:rPr>
                <w:rFonts w:ascii="宋体" w:hAnsi="宋体" w:hint="eastAsia"/>
              </w:rPr>
            </w:pPr>
            <w:r>
              <w:rPr>
                <w:rFonts w:ascii="宋体" w:eastAsia="宋体" w:hAnsi="宋体" w:hint="eastAsia"/>
              </w:rPr>
              <w:t>4,500</w:t>
            </w:r>
          </w:p>
        </w:tc>
        <w:tc>
          <w:tcPr>
            <w:tcW w:w="1428" w:type="dxa"/>
            <w:vAlign w:val="center"/>
          </w:tcPr>
          <w:p w14:paraId="6687C805" w14:textId="77777777" w:rsidR="00801551" w:rsidRDefault="00000000">
            <w:pPr>
              <w:jc w:val="right"/>
              <w:rPr>
                <w:rFonts w:ascii="宋体" w:hAnsi="宋体" w:hint="eastAsia"/>
              </w:rPr>
            </w:pPr>
            <w:r>
              <w:rPr>
                <w:rFonts w:ascii="宋体" w:hAnsi="宋体" w:hint="eastAsia"/>
              </w:rPr>
              <w:t>17.50</w:t>
            </w:r>
          </w:p>
        </w:tc>
        <w:tc>
          <w:tcPr>
            <w:tcW w:w="1418" w:type="dxa"/>
            <w:vAlign w:val="center"/>
          </w:tcPr>
          <w:p w14:paraId="02114747" w14:textId="77777777" w:rsidR="00801551" w:rsidRDefault="00000000">
            <w:pPr>
              <w:jc w:val="right"/>
              <w:rPr>
                <w:rFonts w:ascii="宋体" w:hAnsi="宋体" w:hint="eastAsia"/>
              </w:rPr>
            </w:pPr>
            <w:r>
              <w:rPr>
                <w:rFonts w:ascii="宋体" w:hAnsi="宋体" w:hint="eastAsia"/>
              </w:rPr>
              <w:t>223.18</w:t>
            </w:r>
          </w:p>
        </w:tc>
      </w:tr>
      <w:tr w:rsidR="00801551" w14:paraId="01678B24" w14:textId="77777777">
        <w:trPr>
          <w:jc w:val="center"/>
        </w:trPr>
        <w:tc>
          <w:tcPr>
            <w:tcW w:w="944" w:type="dxa"/>
            <w:vAlign w:val="center"/>
          </w:tcPr>
          <w:p w14:paraId="45D32795"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向关联人采购商品</w:t>
            </w:r>
          </w:p>
        </w:tc>
        <w:tc>
          <w:tcPr>
            <w:tcW w:w="2453" w:type="dxa"/>
            <w:vAlign w:val="center"/>
          </w:tcPr>
          <w:p w14:paraId="50A25A2B"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睿荔科技</w:t>
            </w:r>
          </w:p>
        </w:tc>
        <w:tc>
          <w:tcPr>
            <w:tcW w:w="1985" w:type="dxa"/>
            <w:vAlign w:val="center"/>
          </w:tcPr>
          <w:p w14:paraId="7F69F1B1"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采购智能燃气表生产所需相关原材料及服务</w:t>
            </w:r>
          </w:p>
        </w:tc>
        <w:tc>
          <w:tcPr>
            <w:tcW w:w="992" w:type="dxa"/>
            <w:vAlign w:val="center"/>
          </w:tcPr>
          <w:p w14:paraId="1E6A1DD8" w14:textId="77777777" w:rsidR="00801551" w:rsidRDefault="00000000">
            <w:pPr>
              <w:jc w:val="center"/>
              <w:rPr>
                <w:rFonts w:ascii="宋体" w:hAnsi="宋体" w:hint="eastAsia"/>
                <w:color w:val="000000" w:themeColor="text1"/>
              </w:rPr>
            </w:pPr>
            <w:r>
              <w:rPr>
                <w:rFonts w:ascii="宋体" w:eastAsia="宋体" w:hAnsi="宋体" w:hint="eastAsia"/>
              </w:rPr>
              <w:t>市场价</w:t>
            </w:r>
          </w:p>
        </w:tc>
        <w:tc>
          <w:tcPr>
            <w:tcW w:w="1134" w:type="dxa"/>
            <w:vAlign w:val="center"/>
          </w:tcPr>
          <w:p w14:paraId="6807BBC3" w14:textId="77777777" w:rsidR="00801551" w:rsidRDefault="00000000">
            <w:pPr>
              <w:jc w:val="right"/>
              <w:rPr>
                <w:rFonts w:ascii="宋体" w:hAnsi="宋体" w:hint="eastAsia"/>
              </w:rPr>
            </w:pPr>
            <w:r>
              <w:rPr>
                <w:rFonts w:ascii="宋体" w:eastAsia="宋体" w:hAnsi="宋体" w:hint="eastAsia"/>
              </w:rPr>
              <w:t>9,000</w:t>
            </w:r>
          </w:p>
        </w:tc>
        <w:tc>
          <w:tcPr>
            <w:tcW w:w="1428" w:type="dxa"/>
            <w:vAlign w:val="center"/>
          </w:tcPr>
          <w:p w14:paraId="0BBB0EF2" w14:textId="77777777" w:rsidR="00801551" w:rsidRDefault="00000000">
            <w:pPr>
              <w:jc w:val="right"/>
              <w:rPr>
                <w:rFonts w:ascii="宋体" w:hAnsi="宋体" w:hint="eastAsia"/>
              </w:rPr>
            </w:pPr>
            <w:r>
              <w:rPr>
                <w:rFonts w:ascii="宋体" w:hAnsi="宋体" w:hint="eastAsia"/>
              </w:rPr>
              <w:t>136.68</w:t>
            </w:r>
          </w:p>
        </w:tc>
        <w:tc>
          <w:tcPr>
            <w:tcW w:w="1418" w:type="dxa"/>
            <w:vAlign w:val="center"/>
          </w:tcPr>
          <w:p w14:paraId="22390AFF" w14:textId="77777777" w:rsidR="00801551" w:rsidRDefault="00000000">
            <w:pPr>
              <w:jc w:val="right"/>
              <w:rPr>
                <w:rFonts w:ascii="宋体" w:hAnsi="宋体" w:hint="eastAsia"/>
              </w:rPr>
            </w:pPr>
            <w:r>
              <w:rPr>
                <w:rFonts w:ascii="宋体" w:eastAsia="宋体" w:hAnsi="宋体" w:hint="eastAsia"/>
              </w:rPr>
              <w:t>6,033.09</w:t>
            </w:r>
          </w:p>
        </w:tc>
      </w:tr>
      <w:tr w:rsidR="00801551" w14:paraId="3849AEA0" w14:textId="77777777">
        <w:trPr>
          <w:jc w:val="center"/>
        </w:trPr>
        <w:tc>
          <w:tcPr>
            <w:tcW w:w="944" w:type="dxa"/>
            <w:vAlign w:val="center"/>
          </w:tcPr>
          <w:p w14:paraId="7C51A7E3"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向关联人采购商品</w:t>
            </w:r>
          </w:p>
        </w:tc>
        <w:tc>
          <w:tcPr>
            <w:tcW w:w="2453" w:type="dxa"/>
            <w:vAlign w:val="center"/>
          </w:tcPr>
          <w:p w14:paraId="63A29810"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吾爱易达</w:t>
            </w:r>
          </w:p>
        </w:tc>
        <w:tc>
          <w:tcPr>
            <w:tcW w:w="1985" w:type="dxa"/>
            <w:vAlign w:val="center"/>
          </w:tcPr>
          <w:p w14:paraId="6FB09911" w14:textId="77777777" w:rsidR="00801551" w:rsidRDefault="00000000">
            <w:pPr>
              <w:pStyle w:val="Default"/>
              <w:jc w:val="center"/>
              <w:rPr>
                <w:rFonts w:hAnsi="宋体" w:hint="eastAsia"/>
                <w:noProof/>
                <w:color w:val="000000" w:themeColor="text1"/>
                <w:sz w:val="21"/>
                <w:szCs w:val="21"/>
              </w:rPr>
            </w:pPr>
            <w:r>
              <w:rPr>
                <w:rFonts w:hAnsi="宋体" w:hint="eastAsia"/>
                <w:noProof/>
                <w:sz w:val="21"/>
                <w:szCs w:val="21"/>
              </w:rPr>
              <w:t>采购加密芯片及模组等</w:t>
            </w:r>
          </w:p>
        </w:tc>
        <w:tc>
          <w:tcPr>
            <w:tcW w:w="992" w:type="dxa"/>
            <w:vAlign w:val="center"/>
          </w:tcPr>
          <w:p w14:paraId="64ED19A9" w14:textId="77777777" w:rsidR="00801551" w:rsidRDefault="00000000">
            <w:pPr>
              <w:jc w:val="center"/>
              <w:rPr>
                <w:rFonts w:ascii="宋体" w:hAnsi="宋体" w:hint="eastAsia"/>
                <w:color w:val="000000" w:themeColor="text1"/>
              </w:rPr>
            </w:pPr>
            <w:r>
              <w:rPr>
                <w:rFonts w:ascii="宋体" w:eastAsia="宋体" w:hAnsi="宋体" w:hint="eastAsia"/>
              </w:rPr>
              <w:t>市场价</w:t>
            </w:r>
          </w:p>
        </w:tc>
        <w:tc>
          <w:tcPr>
            <w:tcW w:w="1134" w:type="dxa"/>
            <w:vAlign w:val="center"/>
          </w:tcPr>
          <w:p w14:paraId="76FE453A" w14:textId="77777777" w:rsidR="00801551" w:rsidRDefault="00000000">
            <w:pPr>
              <w:jc w:val="right"/>
              <w:rPr>
                <w:rFonts w:ascii="宋体" w:hAnsi="宋体" w:hint="eastAsia"/>
              </w:rPr>
            </w:pPr>
            <w:r>
              <w:rPr>
                <w:rFonts w:ascii="宋体" w:eastAsia="宋体" w:hAnsi="宋体" w:hint="eastAsia"/>
              </w:rPr>
              <w:t>1,500</w:t>
            </w:r>
          </w:p>
        </w:tc>
        <w:tc>
          <w:tcPr>
            <w:tcW w:w="1428" w:type="dxa"/>
            <w:vAlign w:val="center"/>
          </w:tcPr>
          <w:p w14:paraId="13B2C44C" w14:textId="77777777" w:rsidR="00801551" w:rsidRDefault="00000000">
            <w:pPr>
              <w:jc w:val="right"/>
              <w:rPr>
                <w:rFonts w:ascii="宋体" w:hAnsi="宋体" w:hint="eastAsia"/>
              </w:rPr>
            </w:pPr>
            <w:r>
              <w:rPr>
                <w:rFonts w:ascii="宋体" w:hAnsi="宋体" w:hint="eastAsia"/>
              </w:rPr>
              <w:t>28.53</w:t>
            </w:r>
          </w:p>
        </w:tc>
        <w:tc>
          <w:tcPr>
            <w:tcW w:w="1418" w:type="dxa"/>
            <w:vAlign w:val="center"/>
          </w:tcPr>
          <w:p w14:paraId="4C2165C2" w14:textId="77777777" w:rsidR="00801551" w:rsidRDefault="00000000">
            <w:pPr>
              <w:jc w:val="right"/>
              <w:rPr>
                <w:rFonts w:ascii="宋体" w:hAnsi="宋体" w:hint="eastAsia"/>
              </w:rPr>
            </w:pPr>
            <w:r>
              <w:rPr>
                <w:rFonts w:ascii="宋体" w:eastAsia="宋体" w:hAnsi="宋体" w:hint="eastAsia"/>
              </w:rPr>
              <w:t>451.22</w:t>
            </w:r>
          </w:p>
        </w:tc>
      </w:tr>
    </w:tbl>
    <w:p w14:paraId="17EA49A5" w14:textId="77777777" w:rsidR="00801551" w:rsidRDefault="00000000">
      <w:pPr>
        <w:spacing w:before="240" w:line="360" w:lineRule="auto"/>
        <w:ind w:firstLineChars="200" w:firstLine="480"/>
        <w:jc w:val="left"/>
        <w:rPr>
          <w:rFonts w:ascii="宋体" w:hAnsi="宋体" w:hint="eastAsia"/>
          <w:sz w:val="24"/>
        </w:rPr>
      </w:pPr>
      <w:r>
        <w:rPr>
          <w:rFonts w:ascii="宋体" w:hAnsi="宋体" w:hint="eastAsia"/>
          <w:sz w:val="24"/>
        </w:rPr>
        <w:t>其中，预计与单一关联人发生交易金额在300万以上且达到上市公司上一年度经审计净资产0.5%的具体情况如下：</w:t>
      </w:r>
    </w:p>
    <w:p w14:paraId="34F4C771" w14:textId="77777777" w:rsidR="00801551" w:rsidRDefault="00000000">
      <w:pPr>
        <w:spacing w:line="360" w:lineRule="auto"/>
        <w:ind w:firstLineChars="200" w:firstLine="420"/>
        <w:jc w:val="right"/>
        <w:rPr>
          <w:rFonts w:ascii="宋体" w:hAnsi="宋体" w:hint="eastAsia"/>
        </w:rPr>
      </w:pPr>
      <w:r>
        <w:rPr>
          <w:rFonts w:ascii="宋体" w:hAnsi="宋体" w:hint="eastAsia"/>
        </w:rPr>
        <w:t>单位：人民币 万元</w:t>
      </w:r>
    </w:p>
    <w:tbl>
      <w:tblPr>
        <w:tblStyle w:val="ad"/>
        <w:tblW w:w="9793" w:type="dxa"/>
        <w:jc w:val="center"/>
        <w:tblLayout w:type="fixed"/>
        <w:tblLook w:val="04A0" w:firstRow="1" w:lastRow="0" w:firstColumn="1" w:lastColumn="0" w:noHBand="0" w:noVBand="1"/>
      </w:tblPr>
      <w:tblGrid>
        <w:gridCol w:w="1793"/>
        <w:gridCol w:w="1410"/>
        <w:gridCol w:w="2610"/>
        <w:gridCol w:w="1134"/>
        <w:gridCol w:w="1446"/>
        <w:gridCol w:w="1400"/>
      </w:tblGrid>
      <w:tr w:rsidR="00801551" w14:paraId="20613391" w14:textId="77777777">
        <w:trPr>
          <w:trHeight w:val="1105"/>
          <w:jc w:val="center"/>
        </w:trPr>
        <w:tc>
          <w:tcPr>
            <w:tcW w:w="1793" w:type="dxa"/>
            <w:shd w:val="clear" w:color="auto" w:fill="D9D9D9" w:themeFill="background1" w:themeFillShade="D9"/>
            <w:vAlign w:val="center"/>
          </w:tcPr>
          <w:p w14:paraId="6054F6E1"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关联交易类别</w:t>
            </w:r>
          </w:p>
        </w:tc>
        <w:tc>
          <w:tcPr>
            <w:tcW w:w="1410" w:type="dxa"/>
            <w:shd w:val="clear" w:color="auto" w:fill="D9D9D9" w:themeFill="background1" w:themeFillShade="D9"/>
            <w:vAlign w:val="center"/>
          </w:tcPr>
          <w:p w14:paraId="36900203"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关联人</w:t>
            </w:r>
          </w:p>
        </w:tc>
        <w:tc>
          <w:tcPr>
            <w:tcW w:w="2610" w:type="dxa"/>
            <w:shd w:val="clear" w:color="auto" w:fill="D9D9D9" w:themeFill="background1" w:themeFillShade="D9"/>
            <w:vAlign w:val="center"/>
          </w:tcPr>
          <w:p w14:paraId="4DA9F29F"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关联</w:t>
            </w:r>
            <w:r>
              <w:rPr>
                <w:rFonts w:eastAsia="Times New Roman" w:hAnsi="宋体"/>
                <w:b/>
                <w:noProof/>
                <w:sz w:val="21"/>
                <w:szCs w:val="21"/>
              </w:rPr>
              <w:t>交易内容</w:t>
            </w:r>
          </w:p>
        </w:tc>
        <w:tc>
          <w:tcPr>
            <w:tcW w:w="1134" w:type="dxa"/>
            <w:shd w:val="clear" w:color="auto" w:fill="D9D9D9" w:themeFill="background1" w:themeFillShade="D9"/>
            <w:vAlign w:val="center"/>
          </w:tcPr>
          <w:p w14:paraId="6C799B5E" w14:textId="77777777" w:rsidR="00801551" w:rsidRDefault="00000000">
            <w:pPr>
              <w:pStyle w:val="Default"/>
              <w:jc w:val="center"/>
              <w:rPr>
                <w:rFonts w:eastAsia="Times New Roman" w:hAnsi="宋体"/>
                <w:b/>
                <w:noProof/>
                <w:color w:val="auto"/>
                <w:sz w:val="21"/>
                <w:szCs w:val="21"/>
              </w:rPr>
            </w:pPr>
            <w:r>
              <w:rPr>
                <w:rFonts w:eastAsia="Times New Roman" w:hAnsi="宋体"/>
                <w:b/>
                <w:noProof/>
                <w:color w:val="auto"/>
                <w:sz w:val="21"/>
                <w:szCs w:val="21"/>
              </w:rPr>
              <w:t>2026年</w:t>
            </w:r>
            <w:r>
              <w:rPr>
                <w:rFonts w:eastAsia="Times New Roman" w:hAnsi="宋体" w:hint="eastAsia"/>
                <w:b/>
                <w:noProof/>
                <w:color w:val="auto"/>
                <w:sz w:val="21"/>
                <w:szCs w:val="21"/>
              </w:rPr>
              <w:t>预计金额</w:t>
            </w:r>
          </w:p>
        </w:tc>
        <w:tc>
          <w:tcPr>
            <w:tcW w:w="1446" w:type="dxa"/>
            <w:shd w:val="clear" w:color="auto" w:fill="D9D9D9" w:themeFill="background1" w:themeFillShade="D9"/>
            <w:vAlign w:val="center"/>
          </w:tcPr>
          <w:p w14:paraId="104A674D" w14:textId="77777777" w:rsidR="00801551" w:rsidRDefault="00000000">
            <w:pPr>
              <w:pStyle w:val="Default"/>
              <w:ind w:right="211"/>
              <w:jc w:val="right"/>
              <w:rPr>
                <w:rFonts w:eastAsia="Times New Roman" w:hAnsi="宋体"/>
                <w:b/>
                <w:noProof/>
                <w:color w:val="auto"/>
                <w:sz w:val="21"/>
                <w:szCs w:val="21"/>
              </w:rPr>
            </w:pPr>
            <w:r>
              <w:rPr>
                <w:rFonts w:eastAsia="Times New Roman" w:hAnsi="宋体" w:hint="eastAsia"/>
                <w:b/>
                <w:noProof/>
                <w:color w:val="auto"/>
                <w:sz w:val="21"/>
                <w:szCs w:val="21"/>
              </w:rPr>
              <w:t>年初截至披露日已发生金额</w:t>
            </w:r>
          </w:p>
        </w:tc>
        <w:tc>
          <w:tcPr>
            <w:tcW w:w="1400" w:type="dxa"/>
            <w:shd w:val="clear" w:color="auto" w:fill="D9D9D9" w:themeFill="background1" w:themeFillShade="D9"/>
            <w:vAlign w:val="center"/>
          </w:tcPr>
          <w:p w14:paraId="1169BC15"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上年发生金额</w:t>
            </w:r>
          </w:p>
        </w:tc>
      </w:tr>
      <w:tr w:rsidR="00801551" w14:paraId="4BDE2163" w14:textId="77777777">
        <w:trPr>
          <w:trHeight w:val="239"/>
          <w:jc w:val="center"/>
        </w:trPr>
        <w:tc>
          <w:tcPr>
            <w:tcW w:w="1793" w:type="dxa"/>
            <w:vAlign w:val="center"/>
          </w:tcPr>
          <w:p w14:paraId="4C041585"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向关联人销售产品、商品</w:t>
            </w:r>
          </w:p>
        </w:tc>
        <w:tc>
          <w:tcPr>
            <w:tcW w:w="1410" w:type="dxa"/>
            <w:vAlign w:val="center"/>
          </w:tcPr>
          <w:p w14:paraId="53BA72F8"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中国燃气控股有限公司下属的公司</w:t>
            </w:r>
          </w:p>
        </w:tc>
        <w:tc>
          <w:tcPr>
            <w:tcW w:w="2610" w:type="dxa"/>
            <w:vAlign w:val="center"/>
          </w:tcPr>
          <w:p w14:paraId="32D98443"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销售智能燃气表及管理系统、智能燃气表控制器、其他产品及提供服务等</w:t>
            </w:r>
          </w:p>
        </w:tc>
        <w:tc>
          <w:tcPr>
            <w:tcW w:w="1134" w:type="dxa"/>
            <w:vAlign w:val="center"/>
          </w:tcPr>
          <w:p w14:paraId="56FD93F1" w14:textId="77777777" w:rsidR="00801551" w:rsidRDefault="00000000">
            <w:pPr>
              <w:jc w:val="right"/>
              <w:rPr>
                <w:rFonts w:ascii="宋体" w:hAnsi="宋体"/>
                <w:color w:val="FF0000"/>
              </w:rPr>
            </w:pPr>
            <w:r>
              <w:rPr>
                <w:rFonts w:ascii="宋体" w:hAnsi="宋体" w:hint="eastAsia"/>
              </w:rPr>
              <w:t>36,000</w:t>
            </w:r>
          </w:p>
        </w:tc>
        <w:tc>
          <w:tcPr>
            <w:tcW w:w="1446" w:type="dxa"/>
            <w:vAlign w:val="center"/>
          </w:tcPr>
          <w:p w14:paraId="45785892" w14:textId="77777777" w:rsidR="00801551" w:rsidRDefault="00000000">
            <w:pPr>
              <w:jc w:val="right"/>
              <w:rPr>
                <w:rFonts w:ascii="宋体" w:hAnsi="宋体"/>
                <w:color w:val="000000" w:themeColor="text1"/>
              </w:rPr>
            </w:pPr>
            <w:r>
              <w:rPr>
                <w:rFonts w:ascii="宋体" w:hAnsi="宋体" w:hint="eastAsia"/>
              </w:rPr>
              <w:t>4,712.73</w:t>
            </w:r>
          </w:p>
        </w:tc>
        <w:tc>
          <w:tcPr>
            <w:tcW w:w="1400" w:type="dxa"/>
            <w:vAlign w:val="center"/>
          </w:tcPr>
          <w:p w14:paraId="73ACEBC7" w14:textId="77777777" w:rsidR="00801551" w:rsidRDefault="00000000">
            <w:pPr>
              <w:jc w:val="right"/>
              <w:rPr>
                <w:rFonts w:ascii="宋体" w:hAnsi="宋体"/>
                <w:color w:val="FF0000"/>
              </w:rPr>
            </w:pPr>
            <w:r>
              <w:rPr>
                <w:rFonts w:ascii="宋体" w:hAnsi="宋体" w:hint="eastAsia"/>
              </w:rPr>
              <w:t>32,785.04</w:t>
            </w:r>
          </w:p>
        </w:tc>
      </w:tr>
      <w:tr w:rsidR="00801551" w14:paraId="5F320EDE" w14:textId="77777777">
        <w:trPr>
          <w:trHeight w:val="239"/>
          <w:jc w:val="center"/>
        </w:trPr>
        <w:tc>
          <w:tcPr>
            <w:tcW w:w="1793" w:type="dxa"/>
            <w:vAlign w:val="center"/>
          </w:tcPr>
          <w:p w14:paraId="0B6DA068"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向关联人销售产品、商品</w:t>
            </w:r>
          </w:p>
        </w:tc>
        <w:tc>
          <w:tcPr>
            <w:tcW w:w="1410" w:type="dxa"/>
            <w:vAlign w:val="center"/>
          </w:tcPr>
          <w:p w14:paraId="07AF67C3"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睿荔科技</w:t>
            </w:r>
          </w:p>
        </w:tc>
        <w:tc>
          <w:tcPr>
            <w:tcW w:w="2610" w:type="dxa"/>
            <w:vAlign w:val="center"/>
          </w:tcPr>
          <w:p w14:paraId="6F2C5D3B"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销售智能燃气表及管理系统、智能燃气表控制器、其他产品及提供服务等</w:t>
            </w:r>
          </w:p>
        </w:tc>
        <w:tc>
          <w:tcPr>
            <w:tcW w:w="1134" w:type="dxa"/>
            <w:vAlign w:val="center"/>
          </w:tcPr>
          <w:p w14:paraId="1401A5E2" w14:textId="77777777" w:rsidR="00801551" w:rsidRDefault="00000000">
            <w:pPr>
              <w:jc w:val="right"/>
              <w:rPr>
                <w:rFonts w:ascii="宋体" w:hAnsi="宋体"/>
              </w:rPr>
            </w:pPr>
            <w:r>
              <w:rPr>
                <w:rFonts w:ascii="宋体" w:hAnsi="宋体" w:hint="eastAsia"/>
              </w:rPr>
              <w:t>25,000</w:t>
            </w:r>
          </w:p>
        </w:tc>
        <w:tc>
          <w:tcPr>
            <w:tcW w:w="1446" w:type="dxa"/>
            <w:vAlign w:val="center"/>
          </w:tcPr>
          <w:p w14:paraId="1E4595E9" w14:textId="77777777" w:rsidR="00801551" w:rsidRDefault="00000000">
            <w:pPr>
              <w:jc w:val="right"/>
              <w:rPr>
                <w:rFonts w:ascii="宋体" w:hAnsi="宋体"/>
                <w:color w:val="000000" w:themeColor="text1"/>
              </w:rPr>
            </w:pPr>
            <w:r>
              <w:rPr>
                <w:rFonts w:ascii="宋体" w:hAnsi="宋体" w:hint="eastAsia"/>
              </w:rPr>
              <w:t>5,646.49</w:t>
            </w:r>
          </w:p>
        </w:tc>
        <w:tc>
          <w:tcPr>
            <w:tcW w:w="1400" w:type="dxa"/>
            <w:vAlign w:val="center"/>
          </w:tcPr>
          <w:p w14:paraId="6E94D812" w14:textId="77777777" w:rsidR="00801551" w:rsidRDefault="00000000">
            <w:pPr>
              <w:jc w:val="right"/>
              <w:rPr>
                <w:rFonts w:ascii="宋体" w:hAnsi="宋体"/>
              </w:rPr>
            </w:pPr>
            <w:r>
              <w:rPr>
                <w:rFonts w:ascii="宋体" w:hAnsi="宋体" w:hint="eastAsia"/>
              </w:rPr>
              <w:t>14,751.08</w:t>
            </w:r>
          </w:p>
        </w:tc>
      </w:tr>
      <w:tr w:rsidR="00801551" w14:paraId="3630B43D" w14:textId="77777777">
        <w:trPr>
          <w:trHeight w:val="239"/>
          <w:jc w:val="center"/>
        </w:trPr>
        <w:tc>
          <w:tcPr>
            <w:tcW w:w="1793" w:type="dxa"/>
            <w:vAlign w:val="center"/>
          </w:tcPr>
          <w:p w14:paraId="6A8C9B73"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向关联人采购商品</w:t>
            </w:r>
          </w:p>
        </w:tc>
        <w:tc>
          <w:tcPr>
            <w:tcW w:w="1410" w:type="dxa"/>
            <w:vAlign w:val="center"/>
          </w:tcPr>
          <w:p w14:paraId="271A69ED"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睿荔科技</w:t>
            </w:r>
          </w:p>
        </w:tc>
        <w:tc>
          <w:tcPr>
            <w:tcW w:w="2610" w:type="dxa"/>
            <w:vAlign w:val="center"/>
          </w:tcPr>
          <w:p w14:paraId="40134434"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采购智能燃气表生产所需相关原材料及服务</w:t>
            </w:r>
          </w:p>
        </w:tc>
        <w:tc>
          <w:tcPr>
            <w:tcW w:w="1134" w:type="dxa"/>
            <w:vAlign w:val="center"/>
          </w:tcPr>
          <w:p w14:paraId="35CAFF12" w14:textId="77777777" w:rsidR="00801551" w:rsidRDefault="00000000">
            <w:pPr>
              <w:jc w:val="right"/>
              <w:rPr>
                <w:rFonts w:ascii="宋体" w:hAnsi="宋体"/>
                <w:color w:val="FF0000"/>
              </w:rPr>
            </w:pPr>
            <w:r>
              <w:rPr>
                <w:rFonts w:ascii="宋体" w:hAnsi="宋体" w:hint="eastAsia"/>
              </w:rPr>
              <w:t>9,000</w:t>
            </w:r>
          </w:p>
        </w:tc>
        <w:tc>
          <w:tcPr>
            <w:tcW w:w="1446" w:type="dxa"/>
            <w:vAlign w:val="center"/>
          </w:tcPr>
          <w:p w14:paraId="14CAC950" w14:textId="77777777" w:rsidR="00801551" w:rsidRDefault="00000000">
            <w:pPr>
              <w:jc w:val="right"/>
              <w:rPr>
                <w:rFonts w:ascii="宋体" w:hAnsi="宋体"/>
                <w:color w:val="000000" w:themeColor="text1"/>
              </w:rPr>
            </w:pPr>
            <w:r>
              <w:rPr>
                <w:rFonts w:ascii="宋体" w:hAnsi="宋体" w:hint="eastAsia"/>
              </w:rPr>
              <w:t>136.68</w:t>
            </w:r>
          </w:p>
        </w:tc>
        <w:tc>
          <w:tcPr>
            <w:tcW w:w="1400" w:type="dxa"/>
            <w:vAlign w:val="center"/>
          </w:tcPr>
          <w:p w14:paraId="3B2025CC" w14:textId="77777777" w:rsidR="00801551" w:rsidRDefault="00000000">
            <w:pPr>
              <w:jc w:val="right"/>
              <w:rPr>
                <w:rFonts w:ascii="宋体" w:hAnsi="宋体"/>
                <w:color w:val="FF0000"/>
              </w:rPr>
            </w:pPr>
            <w:r>
              <w:rPr>
                <w:rFonts w:ascii="宋体" w:hAnsi="宋体" w:hint="eastAsia"/>
              </w:rPr>
              <w:t>6,033.09</w:t>
            </w:r>
          </w:p>
        </w:tc>
      </w:tr>
    </w:tbl>
    <w:p w14:paraId="7DBD0038"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（三）上一年度日常关联交易实际发生情况</w:t>
      </w:r>
    </w:p>
    <w:p w14:paraId="56BE6B37" w14:textId="77777777" w:rsidR="00801551" w:rsidRDefault="00000000">
      <w:pPr>
        <w:spacing w:line="360" w:lineRule="auto"/>
        <w:ind w:firstLineChars="200" w:firstLine="480"/>
        <w:rPr>
          <w:rFonts w:ascii="宋体" w:hAnsi="宋体" w:hint="eastAsia"/>
          <w:sz w:val="24"/>
        </w:rPr>
      </w:pPr>
      <w:r>
        <w:rPr>
          <w:rFonts w:ascii="宋体" w:hAnsi="宋体" w:hint="eastAsia"/>
          <w:sz w:val="24"/>
        </w:rPr>
        <w:t>公司</w:t>
      </w:r>
      <w:r>
        <w:rPr>
          <w:rFonts w:ascii="宋体" w:hAnsi="宋体"/>
          <w:sz w:val="24"/>
        </w:rPr>
        <w:t>2025年</w:t>
      </w:r>
      <w:r>
        <w:rPr>
          <w:rFonts w:ascii="宋体" w:hAnsi="宋体" w:hint="eastAsia"/>
          <w:sz w:val="24"/>
        </w:rPr>
        <w:t>4月27日第六届董事会第二次会议审议通过了《关于</w:t>
      </w:r>
      <w:r>
        <w:rPr>
          <w:rFonts w:ascii="宋体" w:hAnsi="宋体"/>
          <w:sz w:val="24"/>
        </w:rPr>
        <w:t>2025年</w:t>
      </w:r>
      <w:r>
        <w:rPr>
          <w:rFonts w:ascii="宋体" w:hAnsi="宋体" w:hint="eastAsia"/>
          <w:sz w:val="24"/>
        </w:rPr>
        <w:t>度日常关联交易预计的议案》并于2025年10月24日召开第六届董事会第四次会议审议通过了《关于调整2025年度日常关联交易预计金额的议案》，</w:t>
      </w:r>
      <w:r>
        <w:rPr>
          <w:rFonts w:ascii="宋体" w:hAnsi="宋体"/>
          <w:sz w:val="24"/>
        </w:rPr>
        <w:t>2025年</w:t>
      </w:r>
      <w:r>
        <w:rPr>
          <w:rFonts w:ascii="宋体" w:hAnsi="宋体" w:hint="eastAsia"/>
          <w:sz w:val="24"/>
        </w:rPr>
        <w:lastRenderedPageBreak/>
        <w:t>度公司关联交易实际执行情况如下：</w:t>
      </w:r>
    </w:p>
    <w:p w14:paraId="6223F505" w14:textId="77777777" w:rsidR="00801551" w:rsidRDefault="00000000">
      <w:pPr>
        <w:spacing w:line="360" w:lineRule="auto"/>
        <w:ind w:firstLineChars="200" w:firstLine="420"/>
        <w:jc w:val="right"/>
        <w:rPr>
          <w:rFonts w:ascii="宋体" w:hAnsi="宋体" w:hint="eastAsia"/>
        </w:rPr>
      </w:pPr>
      <w:r>
        <w:rPr>
          <w:rFonts w:ascii="宋体" w:hAnsi="宋体" w:hint="eastAsia"/>
        </w:rPr>
        <w:t>单位：人民币 万元</w:t>
      </w:r>
    </w:p>
    <w:tbl>
      <w:tblPr>
        <w:tblStyle w:val="ad"/>
        <w:tblW w:w="9781" w:type="dxa"/>
        <w:tblInd w:w="-714" w:type="dxa"/>
        <w:tblLayout w:type="fixed"/>
        <w:tblLook w:val="04A0" w:firstRow="1" w:lastRow="0" w:firstColumn="1" w:lastColumn="0" w:noHBand="0" w:noVBand="1"/>
      </w:tblPr>
      <w:tblGrid>
        <w:gridCol w:w="2127"/>
        <w:gridCol w:w="992"/>
        <w:gridCol w:w="1276"/>
        <w:gridCol w:w="1276"/>
        <w:gridCol w:w="850"/>
        <w:gridCol w:w="992"/>
        <w:gridCol w:w="993"/>
        <w:gridCol w:w="1275"/>
      </w:tblGrid>
      <w:tr w:rsidR="00801551" w14:paraId="454B13ED" w14:textId="77777777">
        <w:trPr>
          <w:trHeight w:val="454"/>
        </w:trPr>
        <w:tc>
          <w:tcPr>
            <w:tcW w:w="2127" w:type="dxa"/>
            <w:shd w:val="clear" w:color="auto" w:fill="D9D9D9" w:themeFill="background1" w:themeFillShade="D9"/>
            <w:vAlign w:val="center"/>
          </w:tcPr>
          <w:p w14:paraId="187BAB11"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关联交易类别</w:t>
            </w:r>
            <w:r>
              <w:rPr>
                <w:rFonts w:eastAsia="Times New Roman" w:hAnsi="宋体"/>
                <w:b/>
                <w:noProof/>
                <w:sz w:val="21"/>
                <w:szCs w:val="21"/>
              </w:rPr>
              <w:t xml:space="preserve"> </w:t>
            </w:r>
          </w:p>
        </w:tc>
        <w:tc>
          <w:tcPr>
            <w:tcW w:w="992" w:type="dxa"/>
            <w:shd w:val="clear" w:color="auto" w:fill="D9D9D9" w:themeFill="background1" w:themeFillShade="D9"/>
            <w:vAlign w:val="center"/>
          </w:tcPr>
          <w:p w14:paraId="5B5E7461"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关联人</w:t>
            </w:r>
          </w:p>
        </w:tc>
        <w:tc>
          <w:tcPr>
            <w:tcW w:w="1276" w:type="dxa"/>
            <w:shd w:val="clear" w:color="auto" w:fill="D9D9D9" w:themeFill="background1" w:themeFillShade="D9"/>
            <w:vAlign w:val="center"/>
          </w:tcPr>
          <w:p w14:paraId="51A398D6"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关联</w:t>
            </w:r>
            <w:r>
              <w:rPr>
                <w:rFonts w:eastAsia="Times New Roman" w:hAnsi="宋体"/>
                <w:b/>
                <w:noProof/>
                <w:sz w:val="21"/>
                <w:szCs w:val="21"/>
              </w:rPr>
              <w:t>交易内容</w:t>
            </w:r>
          </w:p>
        </w:tc>
        <w:tc>
          <w:tcPr>
            <w:tcW w:w="1276" w:type="dxa"/>
            <w:shd w:val="clear" w:color="auto" w:fill="D9D9D9" w:themeFill="background1" w:themeFillShade="D9"/>
            <w:vAlign w:val="center"/>
          </w:tcPr>
          <w:p w14:paraId="0C2B1D4A"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实际发生金额</w:t>
            </w:r>
          </w:p>
        </w:tc>
        <w:tc>
          <w:tcPr>
            <w:tcW w:w="850" w:type="dxa"/>
            <w:shd w:val="clear" w:color="auto" w:fill="D9D9D9" w:themeFill="background1" w:themeFillShade="D9"/>
            <w:vAlign w:val="center"/>
          </w:tcPr>
          <w:p w14:paraId="6D0F67A9"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预计金额</w:t>
            </w:r>
            <w:r>
              <w:rPr>
                <w:rFonts w:eastAsia="Times New Roman" w:hAnsi="宋体"/>
                <w:b/>
                <w:noProof/>
                <w:sz w:val="21"/>
                <w:szCs w:val="21"/>
              </w:rPr>
              <w:t xml:space="preserve"> </w:t>
            </w:r>
          </w:p>
          <w:p w14:paraId="0308BF0D" w14:textId="77777777" w:rsidR="00801551" w:rsidRDefault="00801551">
            <w:pPr>
              <w:pStyle w:val="Default"/>
              <w:jc w:val="center"/>
              <w:rPr>
                <w:rFonts w:eastAsia="Times New Roman" w:hAnsi="宋体"/>
                <w:b/>
                <w:noProof/>
                <w:sz w:val="21"/>
                <w:szCs w:val="21"/>
              </w:rPr>
            </w:pPr>
          </w:p>
        </w:tc>
        <w:tc>
          <w:tcPr>
            <w:tcW w:w="992" w:type="dxa"/>
            <w:shd w:val="clear" w:color="auto" w:fill="D9D9D9" w:themeFill="background1" w:themeFillShade="D9"/>
            <w:vAlign w:val="center"/>
          </w:tcPr>
          <w:p w14:paraId="0196048F"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实际发生额占同类业务比例</w:t>
            </w:r>
          </w:p>
        </w:tc>
        <w:tc>
          <w:tcPr>
            <w:tcW w:w="993" w:type="dxa"/>
            <w:shd w:val="clear" w:color="auto" w:fill="D9D9D9" w:themeFill="background1" w:themeFillShade="D9"/>
            <w:vAlign w:val="center"/>
          </w:tcPr>
          <w:p w14:paraId="73398338"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实际发生额与预计金额差异</w:t>
            </w:r>
            <w:r>
              <w:rPr>
                <w:rFonts w:eastAsia="Times New Roman" w:hAnsi="宋体"/>
                <w:b/>
                <w:noProof/>
                <w:sz w:val="21"/>
                <w:szCs w:val="21"/>
              </w:rPr>
              <w:t xml:space="preserve"> </w:t>
            </w:r>
          </w:p>
        </w:tc>
        <w:tc>
          <w:tcPr>
            <w:tcW w:w="1275" w:type="dxa"/>
            <w:shd w:val="clear" w:color="auto" w:fill="D9D9D9" w:themeFill="background1" w:themeFillShade="D9"/>
            <w:vAlign w:val="center"/>
          </w:tcPr>
          <w:p w14:paraId="006BDEB2" w14:textId="77777777" w:rsidR="00801551" w:rsidRDefault="00000000">
            <w:pPr>
              <w:pStyle w:val="Default"/>
              <w:jc w:val="center"/>
              <w:rPr>
                <w:rFonts w:eastAsia="Times New Roman" w:hAnsi="宋体"/>
                <w:b/>
                <w:noProof/>
                <w:sz w:val="21"/>
                <w:szCs w:val="21"/>
              </w:rPr>
            </w:pPr>
            <w:r>
              <w:rPr>
                <w:rFonts w:eastAsia="Times New Roman" w:hAnsi="宋体" w:hint="eastAsia"/>
                <w:b/>
                <w:noProof/>
                <w:sz w:val="21"/>
                <w:szCs w:val="21"/>
              </w:rPr>
              <w:t>披露日期及索引</w:t>
            </w:r>
          </w:p>
        </w:tc>
      </w:tr>
      <w:tr w:rsidR="00801551" w14:paraId="55F0F571" w14:textId="77777777">
        <w:trPr>
          <w:trHeight w:val="436"/>
        </w:trPr>
        <w:tc>
          <w:tcPr>
            <w:tcW w:w="2127" w:type="dxa"/>
            <w:vAlign w:val="center"/>
          </w:tcPr>
          <w:p w14:paraId="6C484CF4" w14:textId="77777777" w:rsidR="00801551" w:rsidRDefault="00000000">
            <w:pPr>
              <w:pStyle w:val="Default"/>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向关联人销售产品、商品</w:t>
            </w:r>
            <w:r>
              <w:rPr>
                <w:rFonts w:eastAsia="Times New Roman" w:hAnsi="宋体"/>
                <w:noProof/>
                <w:color w:val="000000" w:themeColor="text1"/>
                <w:sz w:val="21"/>
                <w:szCs w:val="21"/>
              </w:rPr>
              <w:t xml:space="preserve"> </w:t>
            </w:r>
          </w:p>
        </w:tc>
        <w:tc>
          <w:tcPr>
            <w:tcW w:w="992" w:type="dxa"/>
            <w:vAlign w:val="center"/>
          </w:tcPr>
          <w:p w14:paraId="2CBD1A7D"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中国燃气控股有限公司下属的燃气运营公司</w:t>
            </w:r>
          </w:p>
        </w:tc>
        <w:tc>
          <w:tcPr>
            <w:tcW w:w="1276" w:type="dxa"/>
            <w:vAlign w:val="center"/>
          </w:tcPr>
          <w:p w14:paraId="6DADEBF9"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销售智能燃气表及管理系统、智能燃气表控制器、其他产品及提供服务等</w:t>
            </w:r>
          </w:p>
        </w:tc>
        <w:tc>
          <w:tcPr>
            <w:tcW w:w="1276" w:type="dxa"/>
            <w:vAlign w:val="center"/>
          </w:tcPr>
          <w:p w14:paraId="4442A2FF" w14:textId="77777777" w:rsidR="00801551" w:rsidRDefault="00000000">
            <w:pPr>
              <w:jc w:val="right"/>
              <w:rPr>
                <w:rFonts w:ascii="宋体" w:hAnsi="宋体"/>
              </w:rPr>
            </w:pPr>
            <w:r>
              <w:rPr>
                <w:rFonts w:ascii="宋体" w:hAnsi="宋体" w:hint="eastAsia"/>
              </w:rPr>
              <w:t>32,785.04</w:t>
            </w:r>
          </w:p>
        </w:tc>
        <w:tc>
          <w:tcPr>
            <w:tcW w:w="850" w:type="dxa"/>
            <w:vAlign w:val="center"/>
          </w:tcPr>
          <w:p w14:paraId="4B73EE12" w14:textId="77777777" w:rsidR="00801551" w:rsidRDefault="00000000">
            <w:pPr>
              <w:jc w:val="right"/>
              <w:rPr>
                <w:rFonts w:ascii="宋体" w:hAnsi="宋体"/>
              </w:rPr>
            </w:pPr>
            <w:r>
              <w:rPr>
                <w:rFonts w:ascii="宋体" w:hAnsi="宋体" w:hint="eastAsia"/>
              </w:rPr>
              <w:t>35,000</w:t>
            </w:r>
          </w:p>
        </w:tc>
        <w:tc>
          <w:tcPr>
            <w:tcW w:w="992" w:type="dxa"/>
            <w:vAlign w:val="center"/>
          </w:tcPr>
          <w:p w14:paraId="398115C9" w14:textId="77777777" w:rsidR="00801551" w:rsidRDefault="00000000">
            <w:pPr>
              <w:jc w:val="right"/>
              <w:rPr>
                <w:rFonts w:ascii="宋体" w:hAnsi="宋体"/>
              </w:rPr>
            </w:pPr>
            <w:r>
              <w:rPr>
                <w:rFonts w:ascii="宋体" w:hAnsi="宋体" w:hint="eastAsia"/>
              </w:rPr>
              <w:t>19.83%</w:t>
            </w:r>
          </w:p>
        </w:tc>
        <w:tc>
          <w:tcPr>
            <w:tcW w:w="993" w:type="dxa"/>
            <w:tcBorders>
              <w:bottom w:val="single" w:sz="4" w:space="0" w:color="auto"/>
            </w:tcBorders>
            <w:vAlign w:val="center"/>
          </w:tcPr>
          <w:p w14:paraId="282D936B" w14:textId="77777777" w:rsidR="00801551" w:rsidRDefault="00000000">
            <w:pPr>
              <w:widowControl/>
              <w:jc w:val="right"/>
              <w:rPr>
                <w:rFonts w:ascii="宋体" w:hAnsi="宋体"/>
              </w:rPr>
            </w:pPr>
            <w:r>
              <w:rPr>
                <w:rFonts w:ascii="宋体" w:hAnsi="宋体" w:hint="eastAsia"/>
                <w:lang w:bidi="ar"/>
              </w:rPr>
              <w:t>-6.33%</w:t>
            </w:r>
          </w:p>
        </w:tc>
        <w:tc>
          <w:tcPr>
            <w:tcW w:w="1275" w:type="dxa"/>
            <w:vMerge w:val="restart"/>
            <w:vAlign w:val="center"/>
          </w:tcPr>
          <w:p w14:paraId="43F62B89"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《关于2025年度日常关联交易预计的公告》（2025</w:t>
            </w:r>
            <w:r>
              <w:rPr>
                <w:rFonts w:eastAsia="Times New Roman" w:hAnsi="宋体"/>
                <w:noProof/>
                <w:color w:val="000000" w:themeColor="text1"/>
                <w:sz w:val="21"/>
                <w:szCs w:val="21"/>
              </w:rPr>
              <w:t>-00</w:t>
            </w:r>
            <w:r>
              <w:rPr>
                <w:rFonts w:eastAsia="Times New Roman" w:hAnsi="宋体" w:hint="eastAsia"/>
                <w:noProof/>
                <w:color w:val="000000" w:themeColor="text1"/>
                <w:sz w:val="21"/>
                <w:szCs w:val="21"/>
              </w:rPr>
              <w:t>9）及《关于调整2025年度日常关联交易预计金额的公告》（2025</w:t>
            </w:r>
            <w:r>
              <w:rPr>
                <w:rFonts w:eastAsia="Times New Roman" w:hAnsi="宋体"/>
                <w:noProof/>
                <w:color w:val="000000" w:themeColor="text1"/>
                <w:sz w:val="21"/>
                <w:szCs w:val="21"/>
              </w:rPr>
              <w:t>-0</w:t>
            </w:r>
            <w:r>
              <w:rPr>
                <w:rFonts w:eastAsia="Times New Roman" w:hAnsi="宋体" w:hint="eastAsia"/>
                <w:noProof/>
                <w:color w:val="000000" w:themeColor="text1"/>
                <w:sz w:val="21"/>
                <w:szCs w:val="21"/>
              </w:rPr>
              <w:t>50）</w:t>
            </w:r>
          </w:p>
        </w:tc>
      </w:tr>
      <w:tr w:rsidR="00801551" w14:paraId="15EE3E04" w14:textId="77777777">
        <w:trPr>
          <w:trHeight w:val="1787"/>
        </w:trPr>
        <w:tc>
          <w:tcPr>
            <w:tcW w:w="2127" w:type="dxa"/>
            <w:vAlign w:val="center"/>
          </w:tcPr>
          <w:p w14:paraId="1804E59E" w14:textId="77777777" w:rsidR="00801551" w:rsidRDefault="00000000">
            <w:pPr>
              <w:pStyle w:val="Default"/>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向关联人销售产品、商品</w:t>
            </w:r>
          </w:p>
        </w:tc>
        <w:tc>
          <w:tcPr>
            <w:tcW w:w="992" w:type="dxa"/>
            <w:vAlign w:val="center"/>
          </w:tcPr>
          <w:p w14:paraId="0EE991A7"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睿荔科技</w:t>
            </w:r>
          </w:p>
        </w:tc>
        <w:tc>
          <w:tcPr>
            <w:tcW w:w="1276" w:type="dxa"/>
            <w:vAlign w:val="center"/>
          </w:tcPr>
          <w:p w14:paraId="31857070"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销售智能燃气表及管理系统、智能燃气表控制器、其他产品及提供服务等</w:t>
            </w:r>
          </w:p>
        </w:tc>
        <w:tc>
          <w:tcPr>
            <w:tcW w:w="1276" w:type="dxa"/>
            <w:vAlign w:val="center"/>
          </w:tcPr>
          <w:p w14:paraId="67373813" w14:textId="77777777" w:rsidR="00801551" w:rsidRDefault="00000000">
            <w:pPr>
              <w:jc w:val="right"/>
              <w:rPr>
                <w:rFonts w:ascii="宋体" w:hAnsi="宋体"/>
              </w:rPr>
            </w:pPr>
            <w:r>
              <w:rPr>
                <w:rFonts w:ascii="宋体" w:hAnsi="宋体" w:hint="eastAsia"/>
              </w:rPr>
              <w:t>14,751.08</w:t>
            </w:r>
          </w:p>
        </w:tc>
        <w:tc>
          <w:tcPr>
            <w:tcW w:w="850" w:type="dxa"/>
            <w:vAlign w:val="center"/>
          </w:tcPr>
          <w:p w14:paraId="4C6F245E" w14:textId="77777777" w:rsidR="00801551" w:rsidRDefault="00000000">
            <w:pPr>
              <w:jc w:val="right"/>
              <w:rPr>
                <w:rFonts w:ascii="宋体" w:hAnsi="宋体"/>
              </w:rPr>
            </w:pPr>
            <w:r>
              <w:rPr>
                <w:rFonts w:ascii="宋体" w:hAnsi="宋体" w:hint="eastAsia"/>
              </w:rPr>
              <w:t>25,000</w:t>
            </w:r>
          </w:p>
        </w:tc>
        <w:tc>
          <w:tcPr>
            <w:tcW w:w="992" w:type="dxa"/>
            <w:vAlign w:val="center"/>
          </w:tcPr>
          <w:p w14:paraId="5ED30077" w14:textId="77777777" w:rsidR="00801551" w:rsidRDefault="00000000">
            <w:pPr>
              <w:jc w:val="right"/>
              <w:rPr>
                <w:rFonts w:ascii="宋体" w:hAnsi="宋体"/>
              </w:rPr>
            </w:pPr>
            <w:r>
              <w:rPr>
                <w:rFonts w:ascii="宋体" w:hAnsi="宋体" w:hint="eastAsia"/>
              </w:rPr>
              <w:t>8.92%</w:t>
            </w:r>
          </w:p>
        </w:tc>
        <w:tc>
          <w:tcPr>
            <w:tcW w:w="993" w:type="dxa"/>
            <w:vAlign w:val="center"/>
          </w:tcPr>
          <w:p w14:paraId="5FC5B8A9" w14:textId="77777777" w:rsidR="00801551" w:rsidRDefault="00000000">
            <w:pPr>
              <w:widowControl/>
              <w:jc w:val="right"/>
              <w:rPr>
                <w:rFonts w:ascii="宋体" w:hAnsi="宋体"/>
              </w:rPr>
            </w:pPr>
            <w:r>
              <w:rPr>
                <w:rFonts w:ascii="宋体" w:hAnsi="宋体" w:hint="eastAsia"/>
                <w:lang w:bidi="ar"/>
              </w:rPr>
              <w:t>-41.00%</w:t>
            </w:r>
          </w:p>
        </w:tc>
        <w:tc>
          <w:tcPr>
            <w:tcW w:w="1275" w:type="dxa"/>
            <w:vMerge/>
            <w:vAlign w:val="center"/>
          </w:tcPr>
          <w:p w14:paraId="3F4A06A8" w14:textId="77777777" w:rsidR="00801551" w:rsidRDefault="00801551">
            <w:pPr>
              <w:pStyle w:val="Default"/>
              <w:jc w:val="center"/>
              <w:rPr>
                <w:rFonts w:eastAsia="Times New Roman" w:hAnsi="宋体"/>
                <w:noProof/>
                <w:sz w:val="21"/>
                <w:szCs w:val="21"/>
              </w:rPr>
            </w:pPr>
          </w:p>
        </w:tc>
      </w:tr>
      <w:tr w:rsidR="00801551" w14:paraId="0909BEBD" w14:textId="77777777">
        <w:trPr>
          <w:trHeight w:val="454"/>
        </w:trPr>
        <w:tc>
          <w:tcPr>
            <w:tcW w:w="2127" w:type="dxa"/>
            <w:vAlign w:val="center"/>
          </w:tcPr>
          <w:p w14:paraId="6FCDD0E7" w14:textId="77777777" w:rsidR="00801551" w:rsidRDefault="00000000">
            <w:pPr>
              <w:pStyle w:val="Default"/>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向关联人采购商品</w:t>
            </w:r>
          </w:p>
        </w:tc>
        <w:tc>
          <w:tcPr>
            <w:tcW w:w="992" w:type="dxa"/>
            <w:vAlign w:val="center"/>
          </w:tcPr>
          <w:p w14:paraId="45D429A0"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中燃科技</w:t>
            </w:r>
            <w:r>
              <w:rPr>
                <w:rFonts w:eastAsia="Times New Roman" w:hAnsi="宋体" w:hint="eastAsia"/>
                <w:noProof/>
                <w:color w:val="000000" w:themeColor="text1"/>
                <w:sz w:val="15"/>
                <w:szCs w:val="15"/>
              </w:rPr>
              <w:t>（注：含中燃科技及直接或间接控制中燃科技的其他组织及上述组织直接或间接控制的其他企业）</w:t>
            </w:r>
          </w:p>
        </w:tc>
        <w:tc>
          <w:tcPr>
            <w:tcW w:w="1276" w:type="dxa"/>
            <w:vAlign w:val="center"/>
          </w:tcPr>
          <w:p w14:paraId="774DB4C4"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采购加密芯片、膜式燃气表基表、其他产品及服务等</w:t>
            </w:r>
          </w:p>
        </w:tc>
        <w:tc>
          <w:tcPr>
            <w:tcW w:w="1276" w:type="dxa"/>
            <w:vAlign w:val="center"/>
          </w:tcPr>
          <w:p w14:paraId="7B1CB4A4" w14:textId="77777777" w:rsidR="00801551" w:rsidRDefault="00000000">
            <w:pPr>
              <w:jc w:val="right"/>
              <w:rPr>
                <w:rFonts w:ascii="宋体" w:hAnsi="宋体"/>
              </w:rPr>
            </w:pPr>
            <w:r>
              <w:rPr>
                <w:rFonts w:ascii="宋体" w:hAnsi="宋体" w:hint="eastAsia"/>
              </w:rPr>
              <w:t>223.18</w:t>
            </w:r>
          </w:p>
        </w:tc>
        <w:tc>
          <w:tcPr>
            <w:tcW w:w="850" w:type="dxa"/>
            <w:vAlign w:val="center"/>
          </w:tcPr>
          <w:p w14:paraId="174AF815" w14:textId="77777777" w:rsidR="00801551" w:rsidRDefault="00000000">
            <w:pPr>
              <w:jc w:val="right"/>
              <w:rPr>
                <w:rFonts w:ascii="宋体" w:hAnsi="宋体"/>
              </w:rPr>
            </w:pPr>
            <w:r>
              <w:rPr>
                <w:rFonts w:ascii="宋体" w:hAnsi="宋体" w:hint="eastAsia"/>
              </w:rPr>
              <w:t>3,500</w:t>
            </w:r>
          </w:p>
        </w:tc>
        <w:tc>
          <w:tcPr>
            <w:tcW w:w="992" w:type="dxa"/>
            <w:vAlign w:val="center"/>
          </w:tcPr>
          <w:p w14:paraId="321C04E3" w14:textId="77777777" w:rsidR="00801551" w:rsidRDefault="00000000">
            <w:pPr>
              <w:jc w:val="right"/>
              <w:rPr>
                <w:rFonts w:ascii="宋体" w:hAnsi="宋体"/>
              </w:rPr>
            </w:pPr>
            <w:r>
              <w:rPr>
                <w:rFonts w:ascii="宋体" w:hAnsi="宋体" w:hint="eastAsia"/>
              </w:rPr>
              <w:t>0.17%</w:t>
            </w:r>
          </w:p>
        </w:tc>
        <w:tc>
          <w:tcPr>
            <w:tcW w:w="993" w:type="dxa"/>
            <w:vAlign w:val="center"/>
          </w:tcPr>
          <w:p w14:paraId="77F44856" w14:textId="77777777" w:rsidR="00801551" w:rsidRDefault="00000000">
            <w:pPr>
              <w:widowControl/>
              <w:jc w:val="right"/>
              <w:rPr>
                <w:rFonts w:ascii="宋体" w:hAnsi="宋体" w:hint="eastAsia"/>
              </w:rPr>
            </w:pPr>
            <w:r>
              <w:rPr>
                <w:rFonts w:ascii="宋体" w:hAnsi="宋体" w:hint="eastAsia"/>
              </w:rPr>
              <w:t>-93.62%</w:t>
            </w:r>
          </w:p>
        </w:tc>
        <w:tc>
          <w:tcPr>
            <w:tcW w:w="1275" w:type="dxa"/>
            <w:vMerge/>
            <w:vAlign w:val="center"/>
          </w:tcPr>
          <w:p w14:paraId="7187FD35" w14:textId="77777777" w:rsidR="00801551" w:rsidRDefault="00801551">
            <w:pPr>
              <w:pStyle w:val="Default"/>
              <w:jc w:val="center"/>
              <w:rPr>
                <w:rFonts w:eastAsia="Times New Roman" w:hAnsi="宋体"/>
                <w:noProof/>
                <w:sz w:val="21"/>
                <w:szCs w:val="21"/>
              </w:rPr>
            </w:pPr>
          </w:p>
        </w:tc>
      </w:tr>
      <w:tr w:rsidR="00801551" w14:paraId="7E19D5B2" w14:textId="77777777">
        <w:trPr>
          <w:trHeight w:val="889"/>
        </w:trPr>
        <w:tc>
          <w:tcPr>
            <w:tcW w:w="2127" w:type="dxa"/>
            <w:vAlign w:val="center"/>
          </w:tcPr>
          <w:p w14:paraId="55E6FC1A" w14:textId="77777777" w:rsidR="00801551" w:rsidRDefault="00000000">
            <w:pPr>
              <w:pStyle w:val="Default"/>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向关联人采购商品</w:t>
            </w:r>
          </w:p>
        </w:tc>
        <w:tc>
          <w:tcPr>
            <w:tcW w:w="992" w:type="dxa"/>
            <w:vAlign w:val="center"/>
          </w:tcPr>
          <w:p w14:paraId="19624811"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睿荔科技</w:t>
            </w:r>
          </w:p>
        </w:tc>
        <w:tc>
          <w:tcPr>
            <w:tcW w:w="1276" w:type="dxa"/>
            <w:vAlign w:val="center"/>
          </w:tcPr>
          <w:p w14:paraId="6A7366C0"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采购智能燃气表生产所需相关原材料及服务</w:t>
            </w:r>
          </w:p>
        </w:tc>
        <w:tc>
          <w:tcPr>
            <w:tcW w:w="1276" w:type="dxa"/>
            <w:vAlign w:val="center"/>
          </w:tcPr>
          <w:p w14:paraId="6839C4E4" w14:textId="77777777" w:rsidR="00801551" w:rsidRDefault="00000000">
            <w:pPr>
              <w:jc w:val="right"/>
              <w:rPr>
                <w:rFonts w:ascii="宋体" w:hAnsi="宋体"/>
              </w:rPr>
            </w:pPr>
            <w:r>
              <w:rPr>
                <w:rFonts w:ascii="宋体" w:hAnsi="宋体" w:hint="eastAsia"/>
              </w:rPr>
              <w:t>6,033.09</w:t>
            </w:r>
          </w:p>
        </w:tc>
        <w:tc>
          <w:tcPr>
            <w:tcW w:w="850" w:type="dxa"/>
            <w:vAlign w:val="center"/>
          </w:tcPr>
          <w:p w14:paraId="0B43434F" w14:textId="77777777" w:rsidR="00801551" w:rsidRDefault="00000000">
            <w:pPr>
              <w:jc w:val="right"/>
              <w:rPr>
                <w:rFonts w:ascii="宋体" w:hAnsi="宋体"/>
              </w:rPr>
            </w:pPr>
            <w:r>
              <w:rPr>
                <w:rFonts w:ascii="宋体" w:hAnsi="宋体" w:hint="eastAsia"/>
              </w:rPr>
              <w:t>8,000</w:t>
            </w:r>
          </w:p>
        </w:tc>
        <w:tc>
          <w:tcPr>
            <w:tcW w:w="992" w:type="dxa"/>
            <w:vAlign w:val="center"/>
          </w:tcPr>
          <w:p w14:paraId="2E79F76E" w14:textId="77777777" w:rsidR="00801551" w:rsidRDefault="00000000">
            <w:pPr>
              <w:jc w:val="right"/>
              <w:rPr>
                <w:rFonts w:ascii="宋体" w:hAnsi="宋体"/>
              </w:rPr>
            </w:pPr>
            <w:r>
              <w:rPr>
                <w:rFonts w:ascii="宋体" w:hAnsi="宋体" w:hint="eastAsia"/>
              </w:rPr>
              <w:t>4.53%</w:t>
            </w:r>
          </w:p>
        </w:tc>
        <w:tc>
          <w:tcPr>
            <w:tcW w:w="993" w:type="dxa"/>
            <w:tcBorders>
              <w:bottom w:val="single" w:sz="4" w:space="0" w:color="auto"/>
            </w:tcBorders>
            <w:vAlign w:val="center"/>
          </w:tcPr>
          <w:p w14:paraId="1816069D" w14:textId="77777777" w:rsidR="00801551" w:rsidRDefault="00000000">
            <w:pPr>
              <w:widowControl/>
              <w:jc w:val="right"/>
              <w:rPr>
                <w:rFonts w:ascii="宋体" w:hAnsi="宋体"/>
              </w:rPr>
            </w:pPr>
            <w:r>
              <w:rPr>
                <w:rFonts w:ascii="宋体" w:hAnsi="宋体" w:hint="eastAsia"/>
                <w:lang w:bidi="ar"/>
              </w:rPr>
              <w:t>-24.59%</w:t>
            </w:r>
          </w:p>
        </w:tc>
        <w:tc>
          <w:tcPr>
            <w:tcW w:w="1275" w:type="dxa"/>
            <w:vMerge/>
            <w:vAlign w:val="center"/>
          </w:tcPr>
          <w:p w14:paraId="20086BBC" w14:textId="77777777" w:rsidR="00801551" w:rsidRDefault="00801551">
            <w:pPr>
              <w:pStyle w:val="Default"/>
              <w:jc w:val="center"/>
              <w:rPr>
                <w:rFonts w:eastAsia="Times New Roman" w:hAnsi="宋体"/>
                <w:noProof/>
                <w:sz w:val="21"/>
                <w:szCs w:val="21"/>
              </w:rPr>
            </w:pPr>
          </w:p>
        </w:tc>
      </w:tr>
      <w:tr w:rsidR="00801551" w14:paraId="31FBBEAB" w14:textId="77777777">
        <w:trPr>
          <w:trHeight w:val="889"/>
        </w:trPr>
        <w:tc>
          <w:tcPr>
            <w:tcW w:w="2127" w:type="dxa"/>
            <w:vAlign w:val="center"/>
          </w:tcPr>
          <w:p w14:paraId="40281C07"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向关联人采购商品</w:t>
            </w:r>
          </w:p>
        </w:tc>
        <w:tc>
          <w:tcPr>
            <w:tcW w:w="992" w:type="dxa"/>
            <w:vAlign w:val="center"/>
          </w:tcPr>
          <w:p w14:paraId="5DC816E0"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吾爱易达</w:t>
            </w:r>
          </w:p>
        </w:tc>
        <w:tc>
          <w:tcPr>
            <w:tcW w:w="1276" w:type="dxa"/>
            <w:vAlign w:val="center"/>
          </w:tcPr>
          <w:p w14:paraId="60228383"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采购加密芯片及模组等</w:t>
            </w:r>
          </w:p>
        </w:tc>
        <w:tc>
          <w:tcPr>
            <w:tcW w:w="1276" w:type="dxa"/>
            <w:vAlign w:val="center"/>
          </w:tcPr>
          <w:p w14:paraId="271C2743" w14:textId="77777777" w:rsidR="00801551" w:rsidRDefault="00000000">
            <w:pPr>
              <w:jc w:val="right"/>
              <w:rPr>
                <w:rFonts w:ascii="宋体" w:hAnsi="宋体"/>
              </w:rPr>
            </w:pPr>
            <w:r>
              <w:rPr>
                <w:rFonts w:ascii="宋体" w:hAnsi="宋体" w:hint="eastAsia"/>
              </w:rPr>
              <w:t>451.22</w:t>
            </w:r>
          </w:p>
        </w:tc>
        <w:tc>
          <w:tcPr>
            <w:tcW w:w="850" w:type="dxa"/>
            <w:vAlign w:val="center"/>
          </w:tcPr>
          <w:p w14:paraId="7E1AF3AD" w14:textId="77777777" w:rsidR="00801551" w:rsidRDefault="00000000">
            <w:pPr>
              <w:jc w:val="right"/>
              <w:rPr>
                <w:rFonts w:ascii="宋体" w:hAnsi="宋体"/>
              </w:rPr>
            </w:pPr>
            <w:r>
              <w:rPr>
                <w:rFonts w:ascii="宋体" w:hAnsi="宋体" w:hint="eastAsia"/>
              </w:rPr>
              <w:t>1,500</w:t>
            </w:r>
          </w:p>
        </w:tc>
        <w:tc>
          <w:tcPr>
            <w:tcW w:w="992" w:type="dxa"/>
            <w:vAlign w:val="center"/>
          </w:tcPr>
          <w:p w14:paraId="6B0338D8" w14:textId="77777777" w:rsidR="00801551" w:rsidRDefault="00000000">
            <w:pPr>
              <w:jc w:val="right"/>
              <w:rPr>
                <w:rFonts w:ascii="宋体" w:hAnsi="宋体"/>
              </w:rPr>
            </w:pPr>
            <w:r>
              <w:rPr>
                <w:rFonts w:ascii="宋体" w:hAnsi="宋体" w:hint="eastAsia"/>
              </w:rPr>
              <w:t>0.34%</w:t>
            </w:r>
          </w:p>
        </w:tc>
        <w:tc>
          <w:tcPr>
            <w:tcW w:w="993" w:type="dxa"/>
            <w:tcBorders>
              <w:bottom w:val="single" w:sz="4" w:space="0" w:color="auto"/>
            </w:tcBorders>
            <w:vAlign w:val="center"/>
          </w:tcPr>
          <w:p w14:paraId="75A8A031" w14:textId="77777777" w:rsidR="00801551" w:rsidRDefault="00000000">
            <w:pPr>
              <w:widowControl/>
              <w:jc w:val="right"/>
              <w:rPr>
                <w:rFonts w:ascii="宋体" w:hAnsi="宋体"/>
              </w:rPr>
            </w:pPr>
            <w:r>
              <w:rPr>
                <w:rFonts w:ascii="宋体" w:hAnsi="宋体" w:hint="eastAsia"/>
                <w:lang w:bidi="ar"/>
              </w:rPr>
              <w:t>-69.92%</w:t>
            </w:r>
          </w:p>
        </w:tc>
        <w:tc>
          <w:tcPr>
            <w:tcW w:w="1275" w:type="dxa"/>
            <w:vMerge/>
            <w:tcBorders>
              <w:bottom w:val="single" w:sz="4" w:space="0" w:color="auto"/>
            </w:tcBorders>
            <w:vAlign w:val="center"/>
          </w:tcPr>
          <w:p w14:paraId="61165D07" w14:textId="77777777" w:rsidR="00801551" w:rsidRDefault="00801551">
            <w:pPr>
              <w:pStyle w:val="Default"/>
              <w:jc w:val="center"/>
              <w:rPr>
                <w:rFonts w:eastAsia="Times New Roman" w:hAnsi="宋体"/>
                <w:noProof/>
                <w:sz w:val="21"/>
                <w:szCs w:val="21"/>
              </w:rPr>
            </w:pPr>
          </w:p>
        </w:tc>
      </w:tr>
      <w:tr w:rsidR="00801551" w14:paraId="37B221E1" w14:textId="77777777">
        <w:trPr>
          <w:trHeight w:val="696"/>
        </w:trPr>
        <w:tc>
          <w:tcPr>
            <w:tcW w:w="4395" w:type="dxa"/>
            <w:gridSpan w:val="3"/>
            <w:vAlign w:val="center"/>
          </w:tcPr>
          <w:p w14:paraId="21CE79E5" w14:textId="77777777" w:rsidR="00801551" w:rsidRDefault="00000000">
            <w:pPr>
              <w:pStyle w:val="Default"/>
              <w:jc w:val="center"/>
              <w:rPr>
                <w:rFonts w:eastAsia="Times New Roman" w:hAnsi="宋体"/>
                <w:noProof/>
                <w:color w:val="000000" w:themeColor="text1"/>
                <w:sz w:val="21"/>
                <w:szCs w:val="21"/>
              </w:rPr>
            </w:pPr>
            <w:r>
              <w:rPr>
                <w:rFonts w:eastAsia="Times New Roman" w:hAnsi="宋体" w:hint="eastAsia"/>
                <w:noProof/>
                <w:color w:val="000000" w:themeColor="text1"/>
                <w:sz w:val="21"/>
                <w:szCs w:val="21"/>
              </w:rPr>
              <w:t>公司董事会对日常关联交易实际发生情况与预计存在较大差异的说明（如适用）</w:t>
            </w:r>
            <w:r>
              <w:rPr>
                <w:rFonts w:eastAsia="Times New Roman" w:hAnsi="宋体"/>
                <w:noProof/>
                <w:color w:val="000000" w:themeColor="text1"/>
                <w:sz w:val="21"/>
                <w:szCs w:val="21"/>
              </w:rPr>
              <w:t xml:space="preserve"> </w:t>
            </w:r>
          </w:p>
        </w:tc>
        <w:tc>
          <w:tcPr>
            <w:tcW w:w="5386" w:type="dxa"/>
            <w:gridSpan w:val="5"/>
            <w:vAlign w:val="center"/>
          </w:tcPr>
          <w:p w14:paraId="0926FC85" w14:textId="77777777" w:rsidR="00801551" w:rsidRDefault="00000000">
            <w:pPr>
              <w:pStyle w:val="Default"/>
              <w:rPr>
                <w:rFonts w:eastAsia="Times New Roman" w:hAnsi="宋体"/>
                <w:noProof/>
                <w:color w:val="000000" w:themeColor="text1"/>
                <w:sz w:val="21"/>
                <w:szCs w:val="21"/>
              </w:rPr>
            </w:pPr>
            <w:r>
              <w:rPr>
                <w:rFonts w:eastAsia="Times New Roman" w:hAnsi="宋体" w:hint="eastAsia"/>
                <w:noProof/>
                <w:color w:val="000000" w:themeColor="text1"/>
                <w:sz w:val="21"/>
                <w:szCs w:val="21"/>
              </w:rPr>
              <w:t>公司在进行年度日常关联交易预计时，主要是根据市场情况按照可能发生关联交易进行充分的评估与测算，但实际发生额是根据市场情况、双方业务发展、实际需求及具体执行进度确定，导致实际发生额与预计金额存在一定差异。以上属于正常经营行为，对公司日常经营及业绩不会产生重大影响。</w:t>
            </w:r>
          </w:p>
        </w:tc>
      </w:tr>
      <w:tr w:rsidR="00801551" w14:paraId="5659E853" w14:textId="77777777">
        <w:trPr>
          <w:trHeight w:val="696"/>
        </w:trPr>
        <w:tc>
          <w:tcPr>
            <w:tcW w:w="4395" w:type="dxa"/>
            <w:gridSpan w:val="3"/>
            <w:vAlign w:val="center"/>
          </w:tcPr>
          <w:p w14:paraId="47CA8AFB" w14:textId="77777777" w:rsidR="00801551" w:rsidRDefault="00000000">
            <w:pPr>
              <w:pStyle w:val="Default"/>
              <w:rPr>
                <w:rFonts w:eastAsia="Times New Roman" w:hAnsi="宋体"/>
                <w:noProof/>
                <w:color w:val="000000" w:themeColor="text1"/>
                <w:sz w:val="21"/>
                <w:szCs w:val="21"/>
              </w:rPr>
            </w:pPr>
            <w:r>
              <w:rPr>
                <w:rFonts w:eastAsia="Times New Roman" w:hAnsi="宋体" w:hint="eastAsia"/>
                <w:noProof/>
                <w:color w:val="000000" w:themeColor="text1"/>
                <w:sz w:val="21"/>
                <w:szCs w:val="21"/>
              </w:rPr>
              <w:lastRenderedPageBreak/>
              <w:t>公司独立董事对日常关联交易实际发生情况与预计存在较大差异的说明（如适用）</w:t>
            </w:r>
            <w:r>
              <w:rPr>
                <w:rFonts w:eastAsia="Times New Roman" w:hAnsi="宋体"/>
                <w:noProof/>
                <w:color w:val="000000" w:themeColor="text1"/>
                <w:sz w:val="21"/>
                <w:szCs w:val="21"/>
              </w:rPr>
              <w:t xml:space="preserve"> </w:t>
            </w:r>
          </w:p>
        </w:tc>
        <w:tc>
          <w:tcPr>
            <w:tcW w:w="5386" w:type="dxa"/>
            <w:gridSpan w:val="5"/>
            <w:vAlign w:val="center"/>
          </w:tcPr>
          <w:p w14:paraId="40429BA5" w14:textId="77777777" w:rsidR="00801551" w:rsidRDefault="00000000">
            <w:pPr>
              <w:pStyle w:val="Default"/>
              <w:rPr>
                <w:rFonts w:eastAsia="Times New Roman" w:hAnsi="宋体"/>
                <w:noProof/>
                <w:color w:val="000000" w:themeColor="text1"/>
                <w:sz w:val="21"/>
                <w:szCs w:val="21"/>
              </w:rPr>
            </w:pPr>
            <w:r>
              <w:rPr>
                <w:rFonts w:eastAsia="Times New Roman" w:hAnsi="宋体" w:hint="eastAsia"/>
                <w:noProof/>
                <w:color w:val="000000" w:themeColor="text1"/>
                <w:sz w:val="21"/>
                <w:szCs w:val="21"/>
              </w:rPr>
              <w:t>公司2025年度日常关联交易实际发生总金额低于预计总金额，系公司结合实际经营情况，遵循尽量避免不必要的关联交易，减少关联交易发生的原则，关联交易公平、公正，交易价格客观、公允，没有损害公司及其他非关联方股东利益情形。</w:t>
            </w:r>
          </w:p>
        </w:tc>
      </w:tr>
    </w:tbl>
    <w:p w14:paraId="52329AC2"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二</w:t>
      </w:r>
      <w:r>
        <w:rPr>
          <w:rFonts w:ascii="宋体" w:hAnsi="宋体"/>
          <w:b/>
          <w:sz w:val="24"/>
        </w:rPr>
        <w:t>、</w:t>
      </w:r>
      <w:r>
        <w:rPr>
          <w:rFonts w:ascii="宋体" w:hAnsi="宋体"/>
          <w:b/>
          <w:color w:val="000000" w:themeColor="text1"/>
          <w:sz w:val="24"/>
        </w:rPr>
        <w:t>关联方</w:t>
      </w:r>
      <w:r>
        <w:rPr>
          <w:rFonts w:ascii="宋体" w:hAnsi="宋体" w:hint="eastAsia"/>
          <w:b/>
          <w:color w:val="000000" w:themeColor="text1"/>
          <w:sz w:val="24"/>
        </w:rPr>
        <w:t>介绍</w:t>
      </w:r>
      <w:r>
        <w:rPr>
          <w:rFonts w:ascii="宋体" w:hAnsi="宋体"/>
          <w:b/>
          <w:sz w:val="24"/>
        </w:rPr>
        <w:t>和关联关系</w:t>
      </w:r>
    </w:p>
    <w:p w14:paraId="7A67DFD0" w14:textId="77777777" w:rsidR="00801551" w:rsidRDefault="00000000">
      <w:pPr>
        <w:spacing w:line="360" w:lineRule="auto"/>
        <w:ind w:firstLineChars="200" w:firstLine="482"/>
        <w:jc w:val="left"/>
        <w:rPr>
          <w:rFonts w:ascii="宋体" w:hAnsi="宋体" w:hint="eastAsia"/>
          <w:b/>
          <w:sz w:val="24"/>
        </w:rPr>
      </w:pPr>
      <w:r>
        <w:rPr>
          <w:rFonts w:ascii="宋体" w:hAnsi="宋体" w:hint="eastAsia"/>
          <w:b/>
          <w:sz w:val="24"/>
        </w:rPr>
        <w:t>（一）</w:t>
      </w:r>
      <w:r>
        <w:rPr>
          <w:rFonts w:ascii="宋体" w:hAnsi="宋体"/>
          <w:b/>
          <w:sz w:val="24"/>
        </w:rPr>
        <w:t>深圳市中燃科技有限公司</w:t>
      </w:r>
    </w:p>
    <w:p w14:paraId="7E021882" w14:textId="77777777" w:rsidR="00801551" w:rsidRDefault="00000000">
      <w:pPr>
        <w:spacing w:line="360" w:lineRule="auto"/>
        <w:ind w:firstLineChars="200" w:firstLine="482"/>
        <w:jc w:val="left"/>
        <w:rPr>
          <w:rFonts w:ascii="宋体" w:hAnsi="宋体" w:hint="eastAsia"/>
          <w:b/>
          <w:sz w:val="24"/>
        </w:rPr>
      </w:pPr>
      <w:r>
        <w:rPr>
          <w:rFonts w:ascii="宋体" w:hAnsi="宋体" w:hint="eastAsia"/>
          <w:b/>
          <w:sz w:val="24"/>
        </w:rPr>
        <w:t>1、基本情况</w:t>
      </w:r>
    </w:p>
    <w:p w14:paraId="31732D70" w14:textId="77777777" w:rsidR="00801551" w:rsidRDefault="00000000">
      <w:pPr>
        <w:spacing w:line="360" w:lineRule="auto"/>
        <w:ind w:firstLineChars="200" w:firstLine="480"/>
        <w:jc w:val="left"/>
        <w:rPr>
          <w:rFonts w:ascii="宋体" w:hAnsi="宋体" w:hint="eastAsia"/>
          <w:sz w:val="24"/>
        </w:rPr>
      </w:pPr>
      <w:r>
        <w:rPr>
          <w:rFonts w:ascii="宋体" w:hAnsi="宋体"/>
          <w:sz w:val="24"/>
        </w:rPr>
        <w:t>公司名称</w:t>
      </w:r>
      <w:r>
        <w:rPr>
          <w:rFonts w:ascii="宋体" w:hAnsi="宋体" w:hint="eastAsia"/>
          <w:sz w:val="24"/>
        </w:rPr>
        <w:t>：</w:t>
      </w:r>
      <w:r>
        <w:rPr>
          <w:rFonts w:ascii="宋体" w:hAnsi="宋体"/>
          <w:sz w:val="24"/>
        </w:rPr>
        <w:t>深圳市中燃科技有限公司</w:t>
      </w:r>
      <w:r>
        <w:rPr>
          <w:rFonts w:ascii="宋体" w:hAnsi="宋体" w:hint="eastAsia"/>
          <w:sz w:val="24"/>
        </w:rPr>
        <w:t>（以下简称“中燃科技”）</w:t>
      </w:r>
    </w:p>
    <w:p w14:paraId="2AA2DF0E" w14:textId="77777777" w:rsidR="00801551" w:rsidRDefault="00000000">
      <w:pPr>
        <w:spacing w:line="360" w:lineRule="auto"/>
        <w:ind w:firstLineChars="200" w:firstLine="480"/>
        <w:jc w:val="left"/>
        <w:rPr>
          <w:rFonts w:ascii="宋体" w:hAnsi="宋体" w:hint="eastAsia"/>
          <w:sz w:val="24"/>
        </w:rPr>
      </w:pPr>
      <w:r>
        <w:rPr>
          <w:rFonts w:ascii="宋体" w:hAnsi="宋体"/>
          <w:sz w:val="24"/>
        </w:rPr>
        <w:t>住所：</w:t>
      </w:r>
      <w:r>
        <w:rPr>
          <w:rFonts w:ascii="宋体" w:hAnsi="宋体" w:hint="eastAsia"/>
          <w:sz w:val="24"/>
        </w:rPr>
        <w:t>深圳市龙岗区龙岗街道龙岗大道8288号大运软件小镇37栋</w:t>
      </w:r>
    </w:p>
    <w:p w14:paraId="4553ECDC" w14:textId="77777777" w:rsidR="00801551" w:rsidRDefault="00000000">
      <w:pPr>
        <w:spacing w:line="360" w:lineRule="auto"/>
        <w:ind w:firstLineChars="200" w:firstLine="480"/>
        <w:jc w:val="left"/>
        <w:rPr>
          <w:rFonts w:ascii="宋体" w:hAnsi="宋体" w:hint="eastAsia"/>
          <w:sz w:val="24"/>
        </w:rPr>
      </w:pPr>
      <w:r>
        <w:rPr>
          <w:rFonts w:ascii="宋体" w:hAnsi="宋体"/>
          <w:sz w:val="24"/>
        </w:rPr>
        <w:t>法定代表人：刘</w:t>
      </w:r>
      <w:r>
        <w:rPr>
          <w:rFonts w:ascii="宋体" w:hAnsi="宋体" w:hint="eastAsia"/>
          <w:sz w:val="24"/>
        </w:rPr>
        <w:t>畅</w:t>
      </w:r>
    </w:p>
    <w:p w14:paraId="3FB2866B" w14:textId="77777777" w:rsidR="00801551" w:rsidRDefault="00000000">
      <w:pPr>
        <w:spacing w:line="360" w:lineRule="auto"/>
        <w:ind w:firstLineChars="200" w:firstLine="480"/>
        <w:jc w:val="left"/>
        <w:rPr>
          <w:rFonts w:ascii="宋体" w:hAnsi="宋体" w:hint="eastAsia"/>
          <w:sz w:val="24"/>
        </w:rPr>
      </w:pPr>
      <w:r>
        <w:rPr>
          <w:rFonts w:ascii="宋体" w:hAnsi="宋体"/>
          <w:sz w:val="24"/>
        </w:rPr>
        <w:t>注册资本：2,000万元</w:t>
      </w:r>
    </w:p>
    <w:p w14:paraId="3EDB9030" w14:textId="77777777" w:rsidR="00801551" w:rsidRDefault="00000000">
      <w:pPr>
        <w:spacing w:line="360" w:lineRule="auto"/>
        <w:ind w:firstLineChars="200" w:firstLine="480"/>
        <w:jc w:val="left"/>
        <w:rPr>
          <w:rFonts w:ascii="宋体" w:hAnsi="宋体" w:hint="eastAsia"/>
          <w:sz w:val="24"/>
        </w:rPr>
      </w:pPr>
      <w:r>
        <w:rPr>
          <w:rFonts w:ascii="宋体" w:hAnsi="宋体"/>
          <w:sz w:val="24"/>
        </w:rPr>
        <w:t>社会信用代码：91440300058959265A</w:t>
      </w:r>
    </w:p>
    <w:p w14:paraId="083748B3" w14:textId="77777777" w:rsidR="00801551" w:rsidRDefault="00000000">
      <w:pPr>
        <w:spacing w:line="360" w:lineRule="auto"/>
        <w:ind w:firstLineChars="200" w:firstLine="480"/>
        <w:jc w:val="left"/>
        <w:rPr>
          <w:rFonts w:ascii="宋体" w:hAnsi="宋体" w:hint="eastAsia"/>
          <w:sz w:val="24"/>
        </w:rPr>
      </w:pPr>
      <w:r>
        <w:rPr>
          <w:rFonts w:ascii="宋体" w:hAnsi="宋体"/>
          <w:sz w:val="24"/>
        </w:rPr>
        <w:t>公司类型：</w:t>
      </w:r>
      <w:r>
        <w:rPr>
          <w:rFonts w:ascii="宋体" w:hAnsi="宋体" w:hint="eastAsia"/>
          <w:sz w:val="24"/>
        </w:rPr>
        <w:t>有限责任公司(法人独资)</w:t>
      </w:r>
    </w:p>
    <w:p w14:paraId="4BECA48A" w14:textId="77777777" w:rsidR="00801551" w:rsidRDefault="00000000">
      <w:pPr>
        <w:spacing w:line="360" w:lineRule="auto"/>
        <w:ind w:firstLineChars="200" w:firstLine="480"/>
        <w:jc w:val="left"/>
        <w:rPr>
          <w:rFonts w:ascii="宋体" w:hAnsi="宋体" w:hint="eastAsia"/>
          <w:sz w:val="24"/>
        </w:rPr>
      </w:pPr>
      <w:r>
        <w:rPr>
          <w:rFonts w:ascii="宋体" w:hAnsi="宋体"/>
          <w:sz w:val="24"/>
        </w:rPr>
        <w:t>成立日期：2012年11月30日</w:t>
      </w:r>
    </w:p>
    <w:p w14:paraId="50710DBC" w14:textId="77777777" w:rsidR="00801551" w:rsidRDefault="00000000">
      <w:pPr>
        <w:spacing w:line="360" w:lineRule="auto"/>
        <w:ind w:firstLineChars="200" w:firstLine="480"/>
        <w:jc w:val="left"/>
        <w:rPr>
          <w:rFonts w:ascii="宋体" w:hAnsi="宋体" w:hint="eastAsia"/>
          <w:color w:val="000000" w:themeColor="text1"/>
          <w:sz w:val="24"/>
        </w:rPr>
      </w:pPr>
      <w:r>
        <w:rPr>
          <w:rFonts w:ascii="宋体" w:hAnsi="宋体"/>
          <w:sz w:val="24"/>
        </w:rPr>
        <w:t>业务范围：通讯设备的技术开发、技术咨询；通信设备、电子产品、电脑软硬件的销售；计算机领域的技术开发、自有技术转让、技术咨询；计算机网络工程的建设与上门维护；自动化控制系统集成；计算机软件开发、销售；电脑上门维修；信息系统设备租赁（不含限制项目）；信息技术服务（不含法律、行政法规、国务院决定需前置审批及禁止的项目，限制的项目须取得许可后方可</w:t>
      </w:r>
      <w:r>
        <w:rPr>
          <w:rFonts w:ascii="宋体" w:hAnsi="宋体"/>
          <w:color w:val="000000" w:themeColor="text1"/>
          <w:sz w:val="24"/>
        </w:rPr>
        <w:t>经营）</w:t>
      </w:r>
      <w:r>
        <w:rPr>
          <w:rFonts w:ascii="宋体" w:hAnsi="宋体" w:hint="eastAsia"/>
          <w:color w:val="000000" w:themeColor="text1"/>
          <w:sz w:val="24"/>
        </w:rPr>
        <w:t>。</w:t>
      </w:r>
    </w:p>
    <w:p w14:paraId="32D42495" w14:textId="77777777" w:rsidR="00801551"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截止2025年12月31日中燃科技总资产828,382,546.84元，净资产531,319,956.08元。2025年度实现营业收入194,949,361.14元，净利润63,127,648.2元。（未经审计）</w:t>
      </w:r>
    </w:p>
    <w:p w14:paraId="63CEC126" w14:textId="77777777" w:rsidR="00801551" w:rsidRDefault="00000000">
      <w:pPr>
        <w:spacing w:line="360" w:lineRule="auto"/>
        <w:ind w:firstLineChars="200" w:firstLine="482"/>
        <w:rPr>
          <w:rFonts w:ascii="宋体" w:hAnsi="宋体" w:hint="eastAsia"/>
          <w:sz w:val="24"/>
        </w:rPr>
      </w:pPr>
      <w:r>
        <w:rPr>
          <w:rFonts w:ascii="宋体" w:hAnsi="宋体" w:hint="eastAsia"/>
          <w:b/>
          <w:sz w:val="24"/>
        </w:rPr>
        <w:t>2、与</w:t>
      </w:r>
      <w:r>
        <w:rPr>
          <w:rFonts w:ascii="宋体" w:hAnsi="宋体"/>
          <w:b/>
          <w:sz w:val="24"/>
        </w:rPr>
        <w:t>公司的关联关系</w:t>
      </w:r>
    </w:p>
    <w:p w14:paraId="0DD4C8F1" w14:textId="77777777" w:rsidR="00801551" w:rsidRDefault="00000000">
      <w:pPr>
        <w:spacing w:line="360" w:lineRule="auto"/>
        <w:ind w:firstLineChars="200" w:firstLine="480"/>
        <w:rPr>
          <w:rFonts w:ascii="宋体" w:hAnsi="宋体" w:hint="eastAsia"/>
          <w:sz w:val="24"/>
        </w:rPr>
      </w:pPr>
      <w:r>
        <w:rPr>
          <w:rFonts w:ascii="宋体" w:hAnsi="宋体" w:hint="eastAsia"/>
          <w:sz w:val="24"/>
        </w:rPr>
        <w:t>截止披露日，中燃科技过去12个月内曾持有公司10.28%的股份，其目前仍持有公司4.99%的股份，</w:t>
      </w:r>
      <w:r>
        <w:rPr>
          <w:rFonts w:ascii="宋体" w:hAnsi="宋体"/>
          <w:sz w:val="24"/>
        </w:rPr>
        <w:t>因此公司与</w:t>
      </w:r>
      <w:r>
        <w:rPr>
          <w:rFonts w:ascii="宋体" w:hAnsi="宋体" w:hint="eastAsia"/>
          <w:sz w:val="24"/>
        </w:rPr>
        <w:t>中燃科技</w:t>
      </w:r>
      <w:r>
        <w:rPr>
          <w:rFonts w:ascii="宋体" w:hAnsi="宋体"/>
          <w:sz w:val="24"/>
        </w:rPr>
        <w:t>构成关联方</w:t>
      </w:r>
      <w:r>
        <w:rPr>
          <w:rFonts w:ascii="宋体" w:hAnsi="宋体" w:hint="eastAsia"/>
          <w:sz w:val="24"/>
        </w:rPr>
        <w:t>。</w:t>
      </w:r>
      <w:r>
        <w:rPr>
          <w:rFonts w:ascii="宋体" w:hAnsi="宋体" w:cs="宋体" w:hint="eastAsia"/>
          <w:sz w:val="24"/>
          <w:szCs w:val="24"/>
        </w:rPr>
        <w:t>根据相关规定的要求，公司将</w:t>
      </w:r>
      <w:r>
        <w:rPr>
          <w:rFonts w:ascii="宋体" w:hAnsi="宋体" w:hint="eastAsia"/>
          <w:sz w:val="24"/>
        </w:rPr>
        <w:t>中燃科技</w:t>
      </w:r>
      <w:r>
        <w:rPr>
          <w:rFonts w:ascii="宋体" w:hAnsi="宋体" w:cs="宋体" w:hint="eastAsia"/>
          <w:sz w:val="24"/>
          <w:szCs w:val="24"/>
        </w:rPr>
        <w:t>及直接或间接控制</w:t>
      </w:r>
      <w:r>
        <w:rPr>
          <w:rFonts w:ascii="宋体" w:hAnsi="宋体" w:hint="eastAsia"/>
          <w:sz w:val="24"/>
        </w:rPr>
        <w:t>中燃科技</w:t>
      </w:r>
      <w:r>
        <w:rPr>
          <w:rFonts w:ascii="宋体" w:hAnsi="宋体" w:cs="宋体" w:hint="eastAsia"/>
          <w:sz w:val="24"/>
          <w:szCs w:val="24"/>
        </w:rPr>
        <w:t>的其他组织及上述组织直接或间接控制的其他企业均认定为公司的关联方。</w:t>
      </w:r>
    </w:p>
    <w:p w14:paraId="372D7BE0" w14:textId="77777777" w:rsidR="00801551" w:rsidRDefault="00000000">
      <w:pPr>
        <w:spacing w:line="360" w:lineRule="auto"/>
        <w:ind w:firstLineChars="200" w:firstLine="482"/>
        <w:jc w:val="left"/>
        <w:rPr>
          <w:rFonts w:ascii="宋体" w:hAnsi="宋体" w:hint="eastAsia"/>
          <w:b/>
          <w:sz w:val="24"/>
        </w:rPr>
      </w:pPr>
      <w:r>
        <w:rPr>
          <w:rFonts w:ascii="宋体" w:hAnsi="宋体"/>
          <w:b/>
          <w:sz w:val="24"/>
        </w:rPr>
        <w:t>3</w:t>
      </w:r>
      <w:r>
        <w:rPr>
          <w:rFonts w:ascii="宋体" w:hAnsi="宋体" w:hint="eastAsia"/>
          <w:b/>
          <w:sz w:val="24"/>
        </w:rPr>
        <w:t>、</w:t>
      </w:r>
      <w:r>
        <w:rPr>
          <w:rFonts w:ascii="宋体" w:hAnsi="宋体"/>
          <w:b/>
          <w:sz w:val="24"/>
        </w:rPr>
        <w:t>履约能力分析</w:t>
      </w:r>
    </w:p>
    <w:p w14:paraId="66F60E4C" w14:textId="77777777" w:rsidR="00801551" w:rsidRDefault="00000000">
      <w:pPr>
        <w:spacing w:line="360" w:lineRule="auto"/>
        <w:ind w:firstLineChars="200" w:firstLine="480"/>
        <w:jc w:val="left"/>
        <w:rPr>
          <w:rFonts w:ascii="宋体" w:hAnsi="宋体" w:hint="eastAsia"/>
          <w:sz w:val="24"/>
        </w:rPr>
      </w:pPr>
      <w:r>
        <w:rPr>
          <w:rFonts w:ascii="宋体" w:hAnsi="宋体" w:hint="eastAsia"/>
          <w:sz w:val="24"/>
        </w:rPr>
        <w:t>中燃科技财务及资信状况良好，具有良好的履约能力和支付能力，日常交</w:t>
      </w:r>
      <w:r>
        <w:rPr>
          <w:rFonts w:ascii="宋体" w:hAnsi="宋体" w:hint="eastAsia"/>
          <w:sz w:val="24"/>
        </w:rPr>
        <w:lastRenderedPageBreak/>
        <w:t>易中能履行合同约定。</w:t>
      </w:r>
    </w:p>
    <w:p w14:paraId="088F7638"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（二）中国燃气控股有限公司</w:t>
      </w:r>
    </w:p>
    <w:p w14:paraId="02B6F872" w14:textId="77777777" w:rsidR="00801551" w:rsidRDefault="00000000">
      <w:pPr>
        <w:spacing w:line="360" w:lineRule="auto"/>
        <w:ind w:firstLineChars="200" w:firstLine="482"/>
        <w:rPr>
          <w:rFonts w:ascii="宋体" w:hAnsi="宋体" w:hint="eastAsia"/>
          <w:b/>
          <w:sz w:val="24"/>
          <w:szCs w:val="24"/>
        </w:rPr>
      </w:pPr>
      <w:r>
        <w:rPr>
          <w:rFonts w:ascii="宋体" w:hAnsi="宋体"/>
          <w:b/>
          <w:sz w:val="24"/>
          <w:szCs w:val="24"/>
        </w:rPr>
        <w:t>1</w:t>
      </w:r>
      <w:r>
        <w:rPr>
          <w:rFonts w:ascii="宋体" w:hAnsi="宋体" w:hint="eastAsia"/>
          <w:b/>
          <w:sz w:val="24"/>
          <w:szCs w:val="24"/>
        </w:rPr>
        <w:t>、</w:t>
      </w:r>
      <w:r>
        <w:rPr>
          <w:rFonts w:ascii="宋体" w:hAnsi="宋体"/>
          <w:b/>
          <w:sz w:val="24"/>
          <w:szCs w:val="24"/>
        </w:rPr>
        <w:t>基本情况</w:t>
      </w:r>
    </w:p>
    <w:p w14:paraId="4065E66F" w14:textId="77777777" w:rsidR="00801551" w:rsidRDefault="00000000">
      <w:pPr>
        <w:spacing w:line="360" w:lineRule="auto"/>
        <w:ind w:firstLineChars="200" w:firstLine="480"/>
        <w:rPr>
          <w:rFonts w:ascii="宋体" w:hAnsi="宋体" w:hint="eastAsia"/>
          <w:sz w:val="24"/>
          <w:szCs w:val="24"/>
        </w:rPr>
      </w:pPr>
      <w:r>
        <w:rPr>
          <w:rFonts w:ascii="宋体" w:hAnsi="宋体"/>
          <w:sz w:val="24"/>
          <w:szCs w:val="24"/>
        </w:rPr>
        <w:t>中国燃气控股有限公司</w:t>
      </w:r>
      <w:r>
        <w:rPr>
          <w:rFonts w:ascii="宋体" w:hAnsi="宋体" w:hint="eastAsia"/>
          <w:sz w:val="24"/>
          <w:szCs w:val="24"/>
        </w:rPr>
        <w:t>（以下简称“中国燃气”）</w:t>
      </w:r>
      <w:r>
        <w:rPr>
          <w:rFonts w:ascii="宋体" w:hAnsi="宋体"/>
          <w:sz w:val="24"/>
          <w:szCs w:val="24"/>
        </w:rPr>
        <w:t>是一家在香港联交所上市的天然气运营服务商（代码：中国燃气，00384.HK），主要于中国大陆从事投资、建设、经营城市燃气管道基础设施，向居民、商业和工业用户输送天然气和液化石油气，建设及经营加油站和加气站，开发与应用石油、天然气及液化石油气相关技术，是中国最大的城市燃气运营商之一。</w:t>
      </w:r>
    </w:p>
    <w:p w14:paraId="204612EF" w14:textId="77777777" w:rsidR="00801551" w:rsidRDefault="00000000">
      <w:pPr>
        <w:spacing w:line="360" w:lineRule="auto"/>
        <w:ind w:firstLineChars="200" w:firstLine="480"/>
        <w:rPr>
          <w:rFonts w:ascii="宋体" w:hAnsi="宋体" w:hint="eastAsia"/>
          <w:sz w:val="24"/>
        </w:rPr>
      </w:pPr>
      <w:r>
        <w:rPr>
          <w:rFonts w:ascii="宋体" w:hAnsi="宋体" w:hint="eastAsia"/>
          <w:sz w:val="24"/>
        </w:rPr>
        <w:t>中国燃气最近一年及一期的财务指标如下：</w:t>
      </w:r>
    </w:p>
    <w:p w14:paraId="3B5126CD" w14:textId="77777777" w:rsidR="00801551" w:rsidRDefault="00000000">
      <w:pPr>
        <w:ind w:firstLineChars="200" w:firstLine="480"/>
        <w:jc w:val="right"/>
        <w:rPr>
          <w:rFonts w:ascii="宋体" w:hAnsi="宋体" w:hint="eastAsia"/>
          <w:sz w:val="24"/>
        </w:rPr>
      </w:pPr>
      <w:r>
        <w:rPr>
          <w:rFonts w:ascii="宋体" w:hAnsi="宋体" w:hint="eastAsia"/>
          <w:sz w:val="24"/>
        </w:rPr>
        <w:t>单位</w:t>
      </w:r>
      <w:r>
        <w:rPr>
          <w:rFonts w:ascii="宋体" w:hAnsi="宋体"/>
          <w:sz w:val="24"/>
        </w:rPr>
        <w:t>：千港元</w:t>
      </w:r>
    </w:p>
    <w:tbl>
      <w:tblPr>
        <w:tblW w:w="85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4"/>
        <w:gridCol w:w="1559"/>
        <w:gridCol w:w="1560"/>
        <w:gridCol w:w="1275"/>
        <w:gridCol w:w="1347"/>
        <w:gridCol w:w="1463"/>
      </w:tblGrid>
      <w:tr w:rsidR="00801551" w14:paraId="7412D25B" w14:textId="77777777">
        <w:trPr>
          <w:trHeight w:val="397"/>
          <w:jc w:val="center"/>
        </w:trPr>
        <w:tc>
          <w:tcPr>
            <w:tcW w:w="1384" w:type="dxa"/>
            <w:vAlign w:val="center"/>
          </w:tcPr>
          <w:p w14:paraId="334A675B" w14:textId="77777777" w:rsidR="00801551" w:rsidRDefault="00000000">
            <w:pPr>
              <w:widowControl/>
              <w:jc w:val="center"/>
              <w:rPr>
                <w:rFonts w:ascii="宋体" w:hAnsi="宋体" w:cs="宋体" w:hint="eastAsia"/>
                <w:b/>
              </w:rPr>
            </w:pPr>
            <w:r>
              <w:rPr>
                <w:rFonts w:ascii="宋体" w:hAnsi="宋体" w:hint="eastAsia"/>
                <w:b/>
              </w:rPr>
              <w:t>资产负债表</w:t>
            </w:r>
          </w:p>
        </w:tc>
        <w:tc>
          <w:tcPr>
            <w:tcW w:w="1559" w:type="dxa"/>
            <w:vAlign w:val="center"/>
          </w:tcPr>
          <w:p w14:paraId="486BE294" w14:textId="77777777" w:rsidR="00801551" w:rsidRDefault="00000000">
            <w:pPr>
              <w:widowControl/>
              <w:jc w:val="center"/>
              <w:rPr>
                <w:rFonts w:ascii="宋体" w:hAnsi="宋体" w:hint="eastAsia"/>
                <w:b/>
              </w:rPr>
            </w:pPr>
            <w:r>
              <w:rPr>
                <w:rFonts w:ascii="宋体" w:hAnsi="宋体" w:hint="eastAsia"/>
                <w:b/>
              </w:rPr>
              <w:t>2025-9-30</w:t>
            </w:r>
          </w:p>
        </w:tc>
        <w:tc>
          <w:tcPr>
            <w:tcW w:w="1560" w:type="dxa"/>
            <w:vAlign w:val="center"/>
          </w:tcPr>
          <w:p w14:paraId="6DE01D68" w14:textId="77777777" w:rsidR="00801551" w:rsidRDefault="00000000">
            <w:pPr>
              <w:widowControl/>
              <w:jc w:val="center"/>
              <w:rPr>
                <w:rFonts w:ascii="宋体" w:hAnsi="宋体" w:hint="eastAsia"/>
                <w:b/>
              </w:rPr>
            </w:pPr>
            <w:r>
              <w:rPr>
                <w:rFonts w:ascii="宋体" w:hAnsi="宋体" w:hint="eastAsia"/>
                <w:b/>
              </w:rPr>
              <w:t>2025-</w:t>
            </w:r>
            <w:r>
              <w:rPr>
                <w:rFonts w:ascii="宋体" w:hAnsi="宋体"/>
                <w:b/>
              </w:rPr>
              <w:t>3</w:t>
            </w:r>
            <w:r>
              <w:rPr>
                <w:rFonts w:ascii="宋体" w:hAnsi="宋体" w:hint="eastAsia"/>
                <w:b/>
              </w:rPr>
              <w:t>-3</w:t>
            </w:r>
            <w:r>
              <w:rPr>
                <w:rFonts w:ascii="宋体" w:hAnsi="宋体"/>
                <w:b/>
              </w:rPr>
              <w:t>1</w:t>
            </w:r>
          </w:p>
        </w:tc>
        <w:tc>
          <w:tcPr>
            <w:tcW w:w="1275" w:type="dxa"/>
            <w:vAlign w:val="center"/>
          </w:tcPr>
          <w:p w14:paraId="49D51039" w14:textId="77777777" w:rsidR="00801551" w:rsidRDefault="00000000">
            <w:pPr>
              <w:widowControl/>
              <w:jc w:val="center"/>
              <w:rPr>
                <w:rFonts w:ascii="宋体" w:hAnsi="宋体" w:hint="eastAsia"/>
                <w:b/>
              </w:rPr>
            </w:pPr>
            <w:r>
              <w:rPr>
                <w:rFonts w:ascii="宋体" w:hAnsi="宋体" w:hint="eastAsia"/>
                <w:b/>
              </w:rPr>
              <w:t>利润表</w:t>
            </w:r>
          </w:p>
        </w:tc>
        <w:tc>
          <w:tcPr>
            <w:tcW w:w="1347" w:type="dxa"/>
            <w:vAlign w:val="center"/>
          </w:tcPr>
          <w:p w14:paraId="0DDC34D9" w14:textId="77777777" w:rsidR="00801551" w:rsidRDefault="00000000">
            <w:pPr>
              <w:widowControl/>
              <w:jc w:val="center"/>
              <w:rPr>
                <w:rFonts w:ascii="宋体" w:hAnsi="宋体" w:hint="eastAsia"/>
                <w:b/>
              </w:rPr>
            </w:pPr>
            <w:r>
              <w:rPr>
                <w:rFonts w:ascii="宋体" w:hAnsi="宋体" w:hint="eastAsia"/>
                <w:b/>
              </w:rPr>
              <w:t>2025-9-30</w:t>
            </w:r>
          </w:p>
        </w:tc>
        <w:tc>
          <w:tcPr>
            <w:tcW w:w="1463" w:type="dxa"/>
            <w:vAlign w:val="center"/>
          </w:tcPr>
          <w:p w14:paraId="53E43003" w14:textId="77777777" w:rsidR="00801551" w:rsidRDefault="00000000">
            <w:pPr>
              <w:widowControl/>
              <w:jc w:val="center"/>
              <w:rPr>
                <w:rFonts w:ascii="宋体" w:hAnsi="宋体" w:hint="eastAsia"/>
                <w:b/>
              </w:rPr>
            </w:pPr>
            <w:r>
              <w:rPr>
                <w:rFonts w:ascii="宋体" w:hAnsi="宋体" w:hint="eastAsia"/>
                <w:b/>
              </w:rPr>
              <w:t>2025-</w:t>
            </w:r>
            <w:r>
              <w:rPr>
                <w:rFonts w:ascii="宋体" w:hAnsi="宋体"/>
                <w:b/>
              </w:rPr>
              <w:t>3</w:t>
            </w:r>
            <w:r>
              <w:rPr>
                <w:rFonts w:ascii="宋体" w:hAnsi="宋体" w:hint="eastAsia"/>
                <w:b/>
              </w:rPr>
              <w:t>-3</w:t>
            </w:r>
            <w:r>
              <w:rPr>
                <w:rFonts w:ascii="宋体" w:hAnsi="宋体"/>
                <w:b/>
              </w:rPr>
              <w:t>1</w:t>
            </w:r>
          </w:p>
        </w:tc>
      </w:tr>
      <w:tr w:rsidR="00801551" w14:paraId="184A4EF1" w14:textId="77777777">
        <w:trPr>
          <w:trHeight w:val="397"/>
          <w:jc w:val="center"/>
        </w:trPr>
        <w:tc>
          <w:tcPr>
            <w:tcW w:w="1384" w:type="dxa"/>
            <w:vAlign w:val="center"/>
          </w:tcPr>
          <w:p w14:paraId="111CE326" w14:textId="77777777" w:rsidR="00801551" w:rsidRDefault="00000000">
            <w:pPr>
              <w:widowControl/>
              <w:jc w:val="center"/>
              <w:rPr>
                <w:rFonts w:ascii="宋体" w:hAnsi="宋体" w:cs="宋体" w:hint="eastAsia"/>
                <w:color w:val="000000" w:themeColor="text1"/>
              </w:rPr>
            </w:pPr>
            <w:r>
              <w:rPr>
                <w:rFonts w:ascii="宋体" w:hAnsi="宋体" w:hint="eastAsia"/>
                <w:color w:val="000000" w:themeColor="text1"/>
              </w:rPr>
              <w:t>总资产</w:t>
            </w:r>
          </w:p>
        </w:tc>
        <w:tc>
          <w:tcPr>
            <w:tcW w:w="1559" w:type="dxa"/>
            <w:vAlign w:val="center"/>
          </w:tcPr>
          <w:p w14:paraId="1C42E679" w14:textId="77777777" w:rsidR="00801551" w:rsidRDefault="00000000">
            <w:pPr>
              <w:widowControl/>
              <w:jc w:val="right"/>
              <w:rPr>
                <w:rFonts w:ascii="宋体" w:hAnsi="宋体" w:hint="eastAsia"/>
                <w:color w:val="000000" w:themeColor="text1"/>
              </w:rPr>
            </w:pPr>
            <w:r>
              <w:rPr>
                <w:rFonts w:ascii="宋体" w:hAnsi="宋体"/>
                <w:color w:val="000000" w:themeColor="text1"/>
              </w:rPr>
              <w:t>152,237,012</w:t>
            </w:r>
          </w:p>
        </w:tc>
        <w:tc>
          <w:tcPr>
            <w:tcW w:w="1560" w:type="dxa"/>
            <w:vAlign w:val="center"/>
          </w:tcPr>
          <w:p w14:paraId="4D90763D" w14:textId="77777777" w:rsidR="00801551" w:rsidRDefault="00000000">
            <w:pPr>
              <w:widowControl/>
              <w:jc w:val="right"/>
              <w:rPr>
                <w:rFonts w:ascii="宋体" w:hAnsi="宋体" w:hint="eastAsia"/>
                <w:color w:val="000000" w:themeColor="text1"/>
              </w:rPr>
            </w:pPr>
            <w:bookmarkStart w:id="3" w:name="OLE_LINK2"/>
            <w:r>
              <w:rPr>
                <w:rFonts w:ascii="宋体" w:hAnsi="宋体"/>
                <w:color w:val="000000" w:themeColor="text1"/>
              </w:rPr>
              <w:t>148,220,570</w:t>
            </w:r>
            <w:bookmarkEnd w:id="3"/>
          </w:p>
        </w:tc>
        <w:tc>
          <w:tcPr>
            <w:tcW w:w="1275" w:type="dxa"/>
            <w:vAlign w:val="center"/>
          </w:tcPr>
          <w:p w14:paraId="3A14EA89" w14:textId="77777777" w:rsidR="00801551" w:rsidRDefault="00000000">
            <w:pPr>
              <w:widowControl/>
              <w:jc w:val="center"/>
              <w:rPr>
                <w:rFonts w:ascii="宋体" w:hAnsi="宋体" w:hint="eastAsia"/>
                <w:color w:val="000000" w:themeColor="text1"/>
              </w:rPr>
            </w:pPr>
            <w:r>
              <w:rPr>
                <w:rFonts w:ascii="宋体" w:hAnsi="宋体" w:hint="eastAsia"/>
                <w:color w:val="000000" w:themeColor="text1"/>
              </w:rPr>
              <w:t>营业额</w:t>
            </w:r>
          </w:p>
        </w:tc>
        <w:tc>
          <w:tcPr>
            <w:tcW w:w="1347" w:type="dxa"/>
            <w:vAlign w:val="center"/>
          </w:tcPr>
          <w:p w14:paraId="4F766495" w14:textId="77777777" w:rsidR="00801551" w:rsidRDefault="00000000">
            <w:pPr>
              <w:widowControl/>
              <w:jc w:val="right"/>
              <w:rPr>
                <w:rFonts w:ascii="宋体" w:hAnsi="宋体" w:hint="eastAsia"/>
                <w:color w:val="000000" w:themeColor="text1"/>
              </w:rPr>
            </w:pPr>
            <w:r>
              <w:rPr>
                <w:rFonts w:ascii="宋体" w:hAnsi="宋体"/>
                <w:color w:val="000000" w:themeColor="text1"/>
              </w:rPr>
              <w:t>34,481,081</w:t>
            </w:r>
          </w:p>
        </w:tc>
        <w:tc>
          <w:tcPr>
            <w:tcW w:w="1463" w:type="dxa"/>
            <w:vAlign w:val="center"/>
          </w:tcPr>
          <w:p w14:paraId="0BFD87AA" w14:textId="77777777" w:rsidR="00801551" w:rsidRDefault="00000000">
            <w:pPr>
              <w:widowControl/>
              <w:jc w:val="right"/>
              <w:rPr>
                <w:rFonts w:ascii="宋体" w:hAnsi="宋体" w:hint="eastAsia"/>
                <w:color w:val="000000" w:themeColor="text1"/>
              </w:rPr>
            </w:pPr>
            <w:r>
              <w:rPr>
                <w:rFonts w:ascii="宋体" w:hAnsi="宋体"/>
                <w:color w:val="000000" w:themeColor="text1"/>
              </w:rPr>
              <w:t>79,258,009</w:t>
            </w:r>
          </w:p>
        </w:tc>
      </w:tr>
      <w:tr w:rsidR="00801551" w14:paraId="50F1D9E6" w14:textId="77777777">
        <w:trPr>
          <w:trHeight w:val="397"/>
          <w:jc w:val="center"/>
        </w:trPr>
        <w:tc>
          <w:tcPr>
            <w:tcW w:w="1384" w:type="dxa"/>
            <w:vAlign w:val="center"/>
          </w:tcPr>
          <w:p w14:paraId="75C32048" w14:textId="77777777" w:rsidR="00801551" w:rsidRDefault="00000000">
            <w:pPr>
              <w:widowControl/>
              <w:jc w:val="center"/>
              <w:rPr>
                <w:rFonts w:ascii="宋体" w:hAnsi="宋体" w:cs="宋体" w:hint="eastAsia"/>
                <w:color w:val="000000" w:themeColor="text1"/>
              </w:rPr>
            </w:pPr>
            <w:r>
              <w:rPr>
                <w:rFonts w:ascii="宋体" w:hAnsi="宋体" w:hint="eastAsia"/>
                <w:color w:val="000000" w:themeColor="text1"/>
              </w:rPr>
              <w:t>总负债</w:t>
            </w:r>
          </w:p>
        </w:tc>
        <w:tc>
          <w:tcPr>
            <w:tcW w:w="1559" w:type="dxa"/>
            <w:vAlign w:val="center"/>
          </w:tcPr>
          <w:p w14:paraId="59BA54DA" w14:textId="77777777" w:rsidR="00801551" w:rsidRDefault="00000000">
            <w:pPr>
              <w:widowControl/>
              <w:jc w:val="right"/>
              <w:rPr>
                <w:rFonts w:ascii="宋体" w:hAnsi="宋体" w:hint="eastAsia"/>
                <w:color w:val="000000" w:themeColor="text1"/>
              </w:rPr>
            </w:pPr>
            <w:r>
              <w:rPr>
                <w:rFonts w:ascii="宋体" w:hAnsi="宋体"/>
                <w:color w:val="000000" w:themeColor="text1"/>
              </w:rPr>
              <w:t>88,815,681</w:t>
            </w:r>
          </w:p>
        </w:tc>
        <w:tc>
          <w:tcPr>
            <w:tcW w:w="1560" w:type="dxa"/>
            <w:vAlign w:val="center"/>
          </w:tcPr>
          <w:p w14:paraId="5C562235" w14:textId="77777777" w:rsidR="00801551" w:rsidRDefault="00000000">
            <w:pPr>
              <w:widowControl/>
              <w:jc w:val="right"/>
              <w:rPr>
                <w:rFonts w:ascii="宋体" w:hAnsi="宋体" w:hint="eastAsia"/>
                <w:color w:val="000000" w:themeColor="text1"/>
              </w:rPr>
            </w:pPr>
            <w:r>
              <w:rPr>
                <w:rFonts w:ascii="宋体" w:hAnsi="宋体"/>
                <w:color w:val="000000" w:themeColor="text1"/>
              </w:rPr>
              <w:t>87,493,865</w:t>
            </w:r>
          </w:p>
        </w:tc>
        <w:tc>
          <w:tcPr>
            <w:tcW w:w="1275" w:type="dxa"/>
            <w:vAlign w:val="center"/>
          </w:tcPr>
          <w:p w14:paraId="6F6B447C" w14:textId="77777777" w:rsidR="00801551" w:rsidRDefault="00000000">
            <w:pPr>
              <w:widowControl/>
              <w:jc w:val="center"/>
              <w:rPr>
                <w:rFonts w:ascii="宋体" w:hAnsi="宋体" w:hint="eastAsia"/>
                <w:color w:val="000000" w:themeColor="text1"/>
              </w:rPr>
            </w:pPr>
            <w:r>
              <w:rPr>
                <w:rFonts w:ascii="宋体" w:hAnsi="宋体" w:hint="eastAsia"/>
                <w:color w:val="000000" w:themeColor="text1"/>
              </w:rPr>
              <w:t>税前利润</w:t>
            </w:r>
          </w:p>
        </w:tc>
        <w:tc>
          <w:tcPr>
            <w:tcW w:w="1347" w:type="dxa"/>
            <w:vAlign w:val="center"/>
          </w:tcPr>
          <w:p w14:paraId="012F4535" w14:textId="77777777" w:rsidR="00801551" w:rsidRDefault="00000000">
            <w:pPr>
              <w:widowControl/>
              <w:jc w:val="right"/>
              <w:rPr>
                <w:rFonts w:ascii="宋体" w:hAnsi="宋体" w:hint="eastAsia"/>
                <w:color w:val="000000" w:themeColor="text1"/>
              </w:rPr>
            </w:pPr>
            <w:r>
              <w:rPr>
                <w:rFonts w:ascii="宋体" w:hAnsi="宋体"/>
                <w:color w:val="000000" w:themeColor="text1"/>
              </w:rPr>
              <w:t>2,404,530</w:t>
            </w:r>
          </w:p>
        </w:tc>
        <w:tc>
          <w:tcPr>
            <w:tcW w:w="1463" w:type="dxa"/>
            <w:vAlign w:val="center"/>
          </w:tcPr>
          <w:p w14:paraId="0D7EB4FC" w14:textId="77777777" w:rsidR="00801551" w:rsidRDefault="00000000">
            <w:pPr>
              <w:widowControl/>
              <w:jc w:val="right"/>
              <w:rPr>
                <w:rFonts w:ascii="宋体" w:hAnsi="宋体" w:hint="eastAsia"/>
                <w:color w:val="000000" w:themeColor="text1"/>
                <w:highlight w:val="yellow"/>
              </w:rPr>
            </w:pPr>
            <w:r>
              <w:rPr>
                <w:rFonts w:ascii="宋体" w:hAnsi="宋体"/>
                <w:color w:val="000000" w:themeColor="text1"/>
              </w:rPr>
              <w:t>5,183,182</w:t>
            </w:r>
          </w:p>
        </w:tc>
      </w:tr>
      <w:tr w:rsidR="00801551" w14:paraId="24973637" w14:textId="77777777">
        <w:trPr>
          <w:trHeight w:val="397"/>
          <w:jc w:val="center"/>
        </w:trPr>
        <w:tc>
          <w:tcPr>
            <w:tcW w:w="1384" w:type="dxa"/>
            <w:vAlign w:val="center"/>
          </w:tcPr>
          <w:p w14:paraId="6941344A" w14:textId="77777777" w:rsidR="00801551" w:rsidRDefault="00000000">
            <w:pPr>
              <w:widowControl/>
              <w:jc w:val="center"/>
              <w:rPr>
                <w:rFonts w:ascii="宋体" w:hAnsi="宋体" w:cs="宋体" w:hint="eastAsia"/>
                <w:color w:val="000000" w:themeColor="text1"/>
              </w:rPr>
            </w:pPr>
            <w:r>
              <w:rPr>
                <w:rFonts w:ascii="宋体" w:hAnsi="宋体" w:hint="eastAsia"/>
                <w:color w:val="000000" w:themeColor="text1"/>
              </w:rPr>
              <w:t>净资产</w:t>
            </w:r>
          </w:p>
        </w:tc>
        <w:tc>
          <w:tcPr>
            <w:tcW w:w="1559" w:type="dxa"/>
            <w:vAlign w:val="center"/>
          </w:tcPr>
          <w:p w14:paraId="057FFA6A" w14:textId="77777777" w:rsidR="00801551" w:rsidRDefault="00000000">
            <w:pPr>
              <w:widowControl/>
              <w:jc w:val="right"/>
              <w:rPr>
                <w:rFonts w:ascii="宋体" w:hAnsi="宋体" w:hint="eastAsia"/>
                <w:color w:val="000000" w:themeColor="text1"/>
              </w:rPr>
            </w:pPr>
            <w:r>
              <w:rPr>
                <w:rFonts w:ascii="宋体" w:hAnsi="宋体"/>
                <w:color w:val="000000" w:themeColor="text1"/>
              </w:rPr>
              <w:t>63,421,331</w:t>
            </w:r>
          </w:p>
        </w:tc>
        <w:tc>
          <w:tcPr>
            <w:tcW w:w="1560" w:type="dxa"/>
            <w:vAlign w:val="center"/>
          </w:tcPr>
          <w:p w14:paraId="19B66DD5" w14:textId="77777777" w:rsidR="00801551" w:rsidRDefault="00000000">
            <w:pPr>
              <w:widowControl/>
              <w:jc w:val="right"/>
              <w:rPr>
                <w:rFonts w:ascii="宋体" w:hAnsi="宋体" w:hint="eastAsia"/>
                <w:color w:val="000000" w:themeColor="text1"/>
              </w:rPr>
            </w:pPr>
            <w:bookmarkStart w:id="4" w:name="OLE_LINK3"/>
            <w:r>
              <w:rPr>
                <w:rFonts w:ascii="宋体" w:hAnsi="宋体"/>
                <w:color w:val="000000" w:themeColor="text1"/>
              </w:rPr>
              <w:t>60,726,705</w:t>
            </w:r>
            <w:bookmarkEnd w:id="4"/>
          </w:p>
        </w:tc>
        <w:tc>
          <w:tcPr>
            <w:tcW w:w="1275" w:type="dxa"/>
            <w:vAlign w:val="center"/>
          </w:tcPr>
          <w:p w14:paraId="06A03623" w14:textId="77777777" w:rsidR="00801551" w:rsidRDefault="00000000">
            <w:pPr>
              <w:widowControl/>
              <w:jc w:val="center"/>
              <w:rPr>
                <w:rFonts w:ascii="宋体" w:hAnsi="宋体" w:hint="eastAsia"/>
                <w:color w:val="000000" w:themeColor="text1"/>
              </w:rPr>
            </w:pPr>
            <w:r>
              <w:rPr>
                <w:rFonts w:ascii="宋体" w:hAnsi="宋体" w:hint="eastAsia"/>
                <w:color w:val="000000" w:themeColor="text1"/>
              </w:rPr>
              <w:t>净利润</w:t>
            </w:r>
          </w:p>
        </w:tc>
        <w:tc>
          <w:tcPr>
            <w:tcW w:w="1347" w:type="dxa"/>
            <w:vAlign w:val="center"/>
          </w:tcPr>
          <w:p w14:paraId="4B498134" w14:textId="77777777" w:rsidR="00801551" w:rsidRDefault="00000000">
            <w:pPr>
              <w:widowControl/>
              <w:jc w:val="right"/>
              <w:rPr>
                <w:rFonts w:ascii="宋体" w:hAnsi="宋体" w:hint="eastAsia"/>
                <w:color w:val="000000" w:themeColor="text1"/>
              </w:rPr>
            </w:pPr>
            <w:r>
              <w:rPr>
                <w:rFonts w:ascii="宋体" w:hAnsi="宋体"/>
                <w:color w:val="000000" w:themeColor="text1"/>
              </w:rPr>
              <w:t>1,334,217</w:t>
            </w:r>
          </w:p>
        </w:tc>
        <w:tc>
          <w:tcPr>
            <w:tcW w:w="1463" w:type="dxa"/>
            <w:vAlign w:val="center"/>
          </w:tcPr>
          <w:p w14:paraId="5DEE9356" w14:textId="77777777" w:rsidR="00801551" w:rsidRDefault="00000000">
            <w:pPr>
              <w:widowControl/>
              <w:jc w:val="right"/>
              <w:rPr>
                <w:rFonts w:ascii="宋体" w:hAnsi="宋体" w:hint="eastAsia"/>
                <w:color w:val="000000" w:themeColor="text1"/>
              </w:rPr>
            </w:pPr>
            <w:r>
              <w:rPr>
                <w:rFonts w:ascii="宋体" w:hAnsi="宋体"/>
                <w:color w:val="000000" w:themeColor="text1"/>
              </w:rPr>
              <w:t>3,251,614</w:t>
            </w:r>
          </w:p>
        </w:tc>
      </w:tr>
    </w:tbl>
    <w:p w14:paraId="5807AC01" w14:textId="77777777" w:rsidR="00801551" w:rsidRDefault="00000000">
      <w:pPr>
        <w:rPr>
          <w:rFonts w:ascii="宋体" w:hAnsi="宋体" w:hint="eastAsia"/>
          <w:sz w:val="18"/>
          <w:szCs w:val="18"/>
        </w:rPr>
      </w:pPr>
      <w:r>
        <w:rPr>
          <w:rFonts w:ascii="宋体" w:hAnsi="宋体" w:hint="eastAsia"/>
          <w:sz w:val="18"/>
          <w:szCs w:val="18"/>
        </w:rPr>
        <w:t>注：中国燃气是香港上市公司，其会计年度为上年4月1日至当年3月31日。</w:t>
      </w:r>
    </w:p>
    <w:p w14:paraId="395E7BE7" w14:textId="77777777" w:rsidR="00801551" w:rsidRDefault="00000000">
      <w:pPr>
        <w:spacing w:line="360" w:lineRule="auto"/>
        <w:ind w:firstLineChars="200" w:firstLine="482"/>
        <w:rPr>
          <w:rFonts w:ascii="宋体" w:hAnsi="宋体" w:hint="eastAsia"/>
          <w:b/>
          <w:sz w:val="24"/>
          <w:szCs w:val="24"/>
        </w:rPr>
      </w:pPr>
      <w:r>
        <w:rPr>
          <w:rFonts w:ascii="宋体" w:hAnsi="宋体" w:hint="eastAsia"/>
          <w:b/>
          <w:sz w:val="24"/>
          <w:szCs w:val="24"/>
        </w:rPr>
        <w:t>2、与公司的关联关系</w:t>
      </w:r>
    </w:p>
    <w:p w14:paraId="78C42914" w14:textId="77777777" w:rsidR="00801551" w:rsidRDefault="00000000">
      <w:pPr>
        <w:spacing w:line="360" w:lineRule="auto"/>
        <w:ind w:firstLineChars="200" w:firstLine="480"/>
        <w:rPr>
          <w:rFonts w:ascii="宋体" w:hAnsi="宋体" w:hint="eastAsia"/>
          <w:sz w:val="24"/>
        </w:rPr>
      </w:pPr>
      <w:r>
        <w:rPr>
          <w:rFonts w:ascii="宋体" w:hAnsi="宋体" w:hint="eastAsia"/>
          <w:sz w:val="24"/>
        </w:rPr>
        <w:t>截止披露日，中燃科技过去12个月内曾持有公司10.28%的股份，其目前仍持有公司4.99%的股份，中燃科技</w:t>
      </w:r>
      <w:r>
        <w:rPr>
          <w:rFonts w:ascii="宋体" w:hAnsi="宋体" w:hint="eastAsia"/>
          <w:sz w:val="24"/>
          <w:szCs w:val="24"/>
        </w:rPr>
        <w:t>是</w:t>
      </w:r>
      <w:r>
        <w:rPr>
          <w:rFonts w:ascii="宋体" w:hAnsi="宋体"/>
          <w:sz w:val="24"/>
          <w:szCs w:val="24"/>
        </w:rPr>
        <w:t>中国燃气控股有限公司</w:t>
      </w:r>
      <w:r>
        <w:rPr>
          <w:rFonts w:ascii="宋体" w:hAnsi="宋体" w:hint="eastAsia"/>
          <w:sz w:val="24"/>
          <w:szCs w:val="24"/>
        </w:rPr>
        <w:t>的全资孙公司。</w:t>
      </w:r>
      <w:r>
        <w:rPr>
          <w:rFonts w:ascii="宋体" w:hAnsi="宋体" w:cs="宋体" w:hint="eastAsia"/>
          <w:sz w:val="24"/>
          <w:szCs w:val="24"/>
        </w:rPr>
        <w:t>根据相关规定的要求，公司将</w:t>
      </w:r>
      <w:r>
        <w:rPr>
          <w:rFonts w:ascii="宋体" w:hAnsi="宋体" w:hint="eastAsia"/>
          <w:sz w:val="24"/>
        </w:rPr>
        <w:t>中燃科技</w:t>
      </w:r>
      <w:r>
        <w:rPr>
          <w:rFonts w:ascii="宋体" w:hAnsi="宋体" w:cs="宋体" w:hint="eastAsia"/>
          <w:sz w:val="24"/>
          <w:szCs w:val="24"/>
        </w:rPr>
        <w:t>及直接或间接控制</w:t>
      </w:r>
      <w:r>
        <w:rPr>
          <w:rFonts w:ascii="宋体" w:hAnsi="宋体" w:hint="eastAsia"/>
          <w:sz w:val="24"/>
        </w:rPr>
        <w:t>中燃科技</w:t>
      </w:r>
      <w:r>
        <w:rPr>
          <w:rFonts w:ascii="宋体" w:hAnsi="宋体" w:cs="宋体" w:hint="eastAsia"/>
          <w:sz w:val="24"/>
          <w:szCs w:val="24"/>
        </w:rPr>
        <w:t>的其他组织及上述组织直接或间接控制的其他企业均认定为公司的关联方。故公司与</w:t>
      </w:r>
      <w:r>
        <w:rPr>
          <w:rFonts w:ascii="宋体" w:hAnsi="宋体"/>
          <w:sz w:val="24"/>
          <w:szCs w:val="24"/>
        </w:rPr>
        <w:t>中国燃气控股有限公司</w:t>
      </w:r>
      <w:r>
        <w:rPr>
          <w:rFonts w:ascii="宋体" w:hAnsi="宋体" w:cs="宋体" w:hint="eastAsia"/>
          <w:sz w:val="24"/>
          <w:szCs w:val="24"/>
        </w:rPr>
        <w:t>下属的公司构成关联关系。</w:t>
      </w:r>
    </w:p>
    <w:p w14:paraId="1868CE24" w14:textId="77777777" w:rsidR="00801551" w:rsidRDefault="00000000">
      <w:pPr>
        <w:spacing w:line="360" w:lineRule="auto"/>
        <w:ind w:firstLineChars="200" w:firstLine="482"/>
        <w:rPr>
          <w:rFonts w:ascii="宋体" w:hAnsi="宋体" w:hint="eastAsia"/>
          <w:b/>
          <w:sz w:val="24"/>
        </w:rPr>
      </w:pPr>
      <w:r>
        <w:rPr>
          <w:rFonts w:ascii="宋体" w:hAnsi="宋体"/>
          <w:b/>
          <w:sz w:val="24"/>
        </w:rPr>
        <w:t>3</w:t>
      </w:r>
      <w:r>
        <w:rPr>
          <w:rFonts w:ascii="宋体" w:hAnsi="宋体" w:hint="eastAsia"/>
          <w:b/>
          <w:sz w:val="24"/>
        </w:rPr>
        <w:t>、</w:t>
      </w:r>
      <w:r>
        <w:rPr>
          <w:rFonts w:ascii="宋体" w:hAnsi="宋体"/>
          <w:b/>
          <w:sz w:val="24"/>
        </w:rPr>
        <w:t>履约能力分析</w:t>
      </w:r>
    </w:p>
    <w:p w14:paraId="07B907E2" w14:textId="77777777" w:rsidR="00801551" w:rsidRDefault="00000000">
      <w:pPr>
        <w:pStyle w:val="af1"/>
        <w:adjustRightInd/>
        <w:snapToGrid/>
        <w:spacing w:beforeLines="0" w:afterLines="50" w:after="156"/>
        <w:ind w:leftChars="0" w:left="0" w:rightChars="0" w:right="0" w:firstLine="480"/>
        <w:rPr>
          <w:rFonts w:cs="Calibri" w:hint="eastAsia"/>
          <w:b w:val="0"/>
          <w:kern w:val="2"/>
          <w:szCs w:val="24"/>
        </w:rPr>
      </w:pPr>
      <w:r>
        <w:rPr>
          <w:rFonts w:cs="Calibri"/>
          <w:b w:val="0"/>
          <w:kern w:val="2"/>
          <w:szCs w:val="24"/>
        </w:rPr>
        <w:t>中国燃气是中国最大的城市燃气运营商之一</w:t>
      </w:r>
      <w:r>
        <w:rPr>
          <w:rFonts w:cs="Calibri" w:hint="eastAsia"/>
          <w:b w:val="0"/>
          <w:kern w:val="2"/>
          <w:szCs w:val="24"/>
        </w:rPr>
        <w:t>，</w:t>
      </w:r>
      <w:r>
        <w:rPr>
          <w:rFonts w:cs="Calibri"/>
          <w:b w:val="0"/>
          <w:kern w:val="2"/>
          <w:szCs w:val="24"/>
        </w:rPr>
        <w:t>根据</w:t>
      </w:r>
      <w:r>
        <w:rPr>
          <w:rFonts w:cs="Calibri" w:hint="eastAsia"/>
          <w:b w:val="0"/>
          <w:kern w:val="2"/>
          <w:szCs w:val="24"/>
        </w:rPr>
        <w:t>中</w:t>
      </w:r>
      <w:r>
        <w:rPr>
          <w:rFonts w:cs="Calibri"/>
          <w:b w:val="0"/>
          <w:kern w:val="2"/>
          <w:szCs w:val="24"/>
        </w:rPr>
        <w:t>国燃气主要财务指标和经营情况，结合历史交易情况判断，</w:t>
      </w:r>
      <w:r>
        <w:rPr>
          <w:rFonts w:cs="Calibri" w:hint="eastAsia"/>
          <w:b w:val="0"/>
          <w:kern w:val="2"/>
          <w:szCs w:val="24"/>
        </w:rPr>
        <w:t>中国</w:t>
      </w:r>
      <w:r>
        <w:rPr>
          <w:rFonts w:cs="Calibri"/>
          <w:b w:val="0"/>
          <w:kern w:val="2"/>
          <w:szCs w:val="24"/>
        </w:rPr>
        <w:t>燃气具备良好的履约能力和支付能力。</w:t>
      </w:r>
    </w:p>
    <w:p w14:paraId="6070238B"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（三）深圳市睿荔科技有限公司</w:t>
      </w:r>
    </w:p>
    <w:p w14:paraId="49107F69" w14:textId="77777777" w:rsidR="00801551" w:rsidRDefault="00000000">
      <w:pPr>
        <w:spacing w:line="360" w:lineRule="auto"/>
        <w:ind w:firstLineChars="200" w:firstLine="482"/>
        <w:rPr>
          <w:rFonts w:ascii="宋体" w:hAnsi="宋体" w:cs="宋体" w:hint="eastAsia"/>
          <w:b/>
          <w:sz w:val="24"/>
          <w:szCs w:val="24"/>
        </w:rPr>
      </w:pPr>
      <w:r>
        <w:rPr>
          <w:rFonts w:ascii="宋体" w:hAnsi="宋体"/>
          <w:b/>
          <w:sz w:val="24"/>
          <w:szCs w:val="24"/>
        </w:rPr>
        <w:t>1</w:t>
      </w:r>
      <w:r>
        <w:rPr>
          <w:rFonts w:ascii="宋体" w:hAnsi="宋体" w:hint="eastAsia"/>
          <w:b/>
          <w:sz w:val="24"/>
          <w:szCs w:val="24"/>
        </w:rPr>
        <w:t>、</w:t>
      </w:r>
      <w:r>
        <w:rPr>
          <w:rFonts w:ascii="宋体" w:hAnsi="宋体" w:cs="宋体" w:hint="eastAsia"/>
          <w:b/>
          <w:sz w:val="24"/>
          <w:szCs w:val="24"/>
        </w:rPr>
        <w:t>基本情况</w:t>
      </w:r>
    </w:p>
    <w:p w14:paraId="18F4B8E9"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公司名称：深圳市睿荔科技有限公司</w:t>
      </w:r>
      <w:r>
        <w:rPr>
          <w:rFonts w:ascii="宋体" w:hAnsi="宋体" w:hint="eastAsia"/>
          <w:sz w:val="24"/>
        </w:rPr>
        <w:t>（以下简称“睿荔科技”）</w:t>
      </w:r>
    </w:p>
    <w:p w14:paraId="7F668D58"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住所：深圳市罗湖区黄贝街道新兴社区经二路11号燃气集团B栋三层整层</w:t>
      </w:r>
    </w:p>
    <w:p w14:paraId="1C496CD8" w14:textId="77777777" w:rsidR="00801551" w:rsidRDefault="00000000">
      <w:pPr>
        <w:spacing w:line="360" w:lineRule="auto"/>
        <w:ind w:firstLineChars="200" w:firstLine="480"/>
        <w:rPr>
          <w:rFonts w:ascii="宋体" w:hAnsi="宋体" w:cs="宋体" w:hint="eastAsia"/>
          <w:color w:val="FF0000"/>
          <w:sz w:val="24"/>
          <w:szCs w:val="24"/>
        </w:rPr>
      </w:pPr>
      <w:r>
        <w:rPr>
          <w:rFonts w:ascii="宋体" w:hAnsi="宋体" w:cs="宋体" w:hint="eastAsia"/>
          <w:sz w:val="24"/>
          <w:szCs w:val="24"/>
        </w:rPr>
        <w:t>法定代表人：林苑</w:t>
      </w:r>
    </w:p>
    <w:p w14:paraId="47E16852"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注册资本：10,000万元</w:t>
      </w:r>
    </w:p>
    <w:p w14:paraId="2D6BE111"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社会信用代码：91440300MA5G8RDA2N</w:t>
      </w:r>
    </w:p>
    <w:p w14:paraId="1EA60366"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公司类型：有限责任公司</w:t>
      </w:r>
    </w:p>
    <w:p w14:paraId="61DD18B3"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成立日期：2020年6月22日</w:t>
      </w:r>
    </w:p>
    <w:p w14:paraId="7A097127"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业务范围：一般经营项目是：电子产品、智能设备、机电产品、计量器具、计算机软硬件、智能系统、机电产品的技术开发、技术服务、技术咨询、成果转让；电子产品，智能设备，机电产品，计量器具的销售；货物进出口。（法律、行政法规、国务院决定禁止的项目除外，限制的项目须取得许可后方可经营），许可经营项目是：电子产品、智能设备、机电产品、计量器具、计算机软硬件、智能系统、机电产品的生产、加工。</w:t>
      </w:r>
    </w:p>
    <w:p w14:paraId="69EC9764" w14:textId="77777777" w:rsidR="00801551" w:rsidRDefault="00000000">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截止2025年</w:t>
      </w:r>
      <w:r>
        <w:rPr>
          <w:rFonts w:ascii="宋体" w:hAnsi="宋体" w:cs="宋体"/>
          <w:color w:val="000000" w:themeColor="text1"/>
          <w:sz w:val="24"/>
          <w:szCs w:val="24"/>
        </w:rPr>
        <w:t>12</w:t>
      </w:r>
      <w:r>
        <w:rPr>
          <w:rFonts w:ascii="宋体" w:hAnsi="宋体" w:cs="宋体" w:hint="eastAsia"/>
          <w:color w:val="000000" w:themeColor="text1"/>
          <w:sz w:val="24"/>
          <w:szCs w:val="24"/>
        </w:rPr>
        <w:t>月3</w:t>
      </w:r>
      <w:r>
        <w:rPr>
          <w:rFonts w:ascii="宋体" w:hAnsi="宋体" w:cs="宋体"/>
          <w:color w:val="000000" w:themeColor="text1"/>
          <w:sz w:val="24"/>
          <w:szCs w:val="24"/>
        </w:rPr>
        <w:t>1</w:t>
      </w:r>
      <w:r>
        <w:rPr>
          <w:rFonts w:ascii="宋体" w:hAnsi="宋体" w:cs="宋体" w:hint="eastAsia"/>
          <w:color w:val="000000" w:themeColor="text1"/>
          <w:sz w:val="24"/>
          <w:szCs w:val="24"/>
        </w:rPr>
        <w:t>日睿荔科技总资产</w:t>
      </w:r>
      <w:r>
        <w:rPr>
          <w:rFonts w:ascii="宋体" w:hAnsi="宋体" w:cs="宋体"/>
          <w:color w:val="000000" w:themeColor="text1"/>
          <w:sz w:val="24"/>
          <w:szCs w:val="24"/>
        </w:rPr>
        <w:t>637,167,776.04</w:t>
      </w:r>
      <w:r>
        <w:rPr>
          <w:rFonts w:ascii="宋体" w:hAnsi="宋体" w:cs="宋体" w:hint="eastAsia"/>
          <w:color w:val="000000" w:themeColor="text1"/>
          <w:sz w:val="24"/>
          <w:szCs w:val="24"/>
        </w:rPr>
        <w:t>元，净资产</w:t>
      </w:r>
      <w:r>
        <w:rPr>
          <w:rFonts w:ascii="宋体" w:hAnsi="宋体" w:cs="宋体"/>
          <w:color w:val="000000" w:themeColor="text1"/>
          <w:sz w:val="24"/>
          <w:szCs w:val="24"/>
        </w:rPr>
        <w:t xml:space="preserve">           273,447,941.83</w:t>
      </w:r>
      <w:r>
        <w:rPr>
          <w:rFonts w:ascii="宋体" w:hAnsi="宋体" w:cs="宋体" w:hint="eastAsia"/>
          <w:color w:val="000000" w:themeColor="text1"/>
          <w:sz w:val="24"/>
          <w:szCs w:val="24"/>
        </w:rPr>
        <w:t>元。2025年度实现营业收入</w:t>
      </w:r>
      <w:r>
        <w:rPr>
          <w:rFonts w:ascii="宋体" w:hAnsi="宋体" w:cs="宋体"/>
          <w:color w:val="000000" w:themeColor="text1"/>
          <w:sz w:val="24"/>
          <w:szCs w:val="24"/>
        </w:rPr>
        <w:t>589,188,205.90</w:t>
      </w:r>
      <w:r>
        <w:rPr>
          <w:rFonts w:ascii="宋体" w:hAnsi="宋体" w:cs="宋体" w:hint="eastAsia"/>
          <w:color w:val="000000" w:themeColor="text1"/>
          <w:sz w:val="24"/>
          <w:szCs w:val="24"/>
        </w:rPr>
        <w:t>元，净利润</w:t>
      </w:r>
      <w:r>
        <w:rPr>
          <w:rFonts w:ascii="宋体" w:hAnsi="宋体" w:cs="宋体"/>
          <w:color w:val="000000" w:themeColor="text1"/>
          <w:sz w:val="24"/>
          <w:szCs w:val="24"/>
        </w:rPr>
        <w:t xml:space="preserve">          77,680,857.14</w:t>
      </w:r>
      <w:r>
        <w:rPr>
          <w:rFonts w:ascii="宋体" w:hAnsi="宋体" w:cs="宋体" w:hint="eastAsia"/>
          <w:color w:val="000000" w:themeColor="text1"/>
          <w:sz w:val="24"/>
          <w:szCs w:val="24"/>
        </w:rPr>
        <w:t>元。（未经审计）</w:t>
      </w:r>
    </w:p>
    <w:p w14:paraId="536A7B65" w14:textId="77777777" w:rsidR="00801551" w:rsidRDefault="00000000">
      <w:pPr>
        <w:spacing w:line="360" w:lineRule="auto"/>
        <w:ind w:firstLineChars="200" w:firstLine="482"/>
        <w:rPr>
          <w:rFonts w:ascii="宋体" w:hAnsi="宋体" w:cs="宋体" w:hint="eastAsia"/>
          <w:b/>
          <w:sz w:val="24"/>
          <w:szCs w:val="24"/>
        </w:rPr>
      </w:pPr>
      <w:r>
        <w:rPr>
          <w:rFonts w:ascii="宋体" w:hAnsi="宋体" w:cs="宋体" w:hint="eastAsia"/>
          <w:b/>
          <w:sz w:val="24"/>
          <w:szCs w:val="24"/>
        </w:rPr>
        <w:t>2、与公司的关联关系</w:t>
      </w:r>
    </w:p>
    <w:p w14:paraId="370CC4EF"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公司董事长兼总经理黄华兵先生在睿荔科技担任董事职务，根据《深圳证券交易所股票上市规则》的相关规定，睿荔科技为公司的关联方。</w:t>
      </w:r>
    </w:p>
    <w:p w14:paraId="7FEBC63C" w14:textId="77777777" w:rsidR="00801551" w:rsidRDefault="00000000">
      <w:pPr>
        <w:spacing w:line="360" w:lineRule="auto"/>
        <w:ind w:firstLineChars="200" w:firstLine="482"/>
        <w:rPr>
          <w:rFonts w:ascii="宋体" w:hAnsi="宋体" w:cs="宋体" w:hint="eastAsia"/>
          <w:b/>
          <w:sz w:val="24"/>
          <w:szCs w:val="24"/>
        </w:rPr>
      </w:pPr>
      <w:r>
        <w:rPr>
          <w:rFonts w:ascii="宋体" w:hAnsi="宋体" w:cs="宋体" w:hint="eastAsia"/>
          <w:b/>
          <w:sz w:val="24"/>
          <w:szCs w:val="24"/>
        </w:rPr>
        <w:t>3、履约能力分析</w:t>
      </w:r>
    </w:p>
    <w:p w14:paraId="1320DB98"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睿荔科技财务及资信状况良好，具有良好的履约能力和支付能力，日常交易中能履行合同约定。</w:t>
      </w:r>
    </w:p>
    <w:p w14:paraId="6E9509FE"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（四）苏州吾爱易达物联网有限公司</w:t>
      </w:r>
    </w:p>
    <w:p w14:paraId="66AD42D1" w14:textId="77777777" w:rsidR="00801551" w:rsidRDefault="00000000">
      <w:pPr>
        <w:spacing w:line="360" w:lineRule="auto"/>
        <w:ind w:firstLineChars="200" w:firstLine="482"/>
        <w:rPr>
          <w:rFonts w:ascii="宋体" w:hAnsi="宋体" w:cs="宋体" w:hint="eastAsia"/>
          <w:b/>
          <w:sz w:val="24"/>
          <w:szCs w:val="24"/>
        </w:rPr>
      </w:pPr>
      <w:r>
        <w:rPr>
          <w:rFonts w:ascii="宋体" w:hAnsi="宋体"/>
          <w:b/>
          <w:sz w:val="24"/>
          <w:szCs w:val="24"/>
        </w:rPr>
        <w:t>1</w:t>
      </w:r>
      <w:r>
        <w:rPr>
          <w:rFonts w:ascii="宋体" w:hAnsi="宋体" w:hint="eastAsia"/>
          <w:b/>
          <w:sz w:val="24"/>
          <w:szCs w:val="24"/>
        </w:rPr>
        <w:t>、</w:t>
      </w:r>
      <w:r>
        <w:rPr>
          <w:rFonts w:ascii="宋体" w:hAnsi="宋体" w:cs="宋体" w:hint="eastAsia"/>
          <w:b/>
          <w:sz w:val="24"/>
          <w:szCs w:val="24"/>
        </w:rPr>
        <w:t>基本情况</w:t>
      </w:r>
    </w:p>
    <w:p w14:paraId="1FE93B59"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公司名称：苏州吾爱易达物联网有限公司</w:t>
      </w:r>
      <w:r>
        <w:rPr>
          <w:rFonts w:ascii="宋体" w:hAnsi="宋体" w:hint="eastAsia"/>
          <w:sz w:val="24"/>
        </w:rPr>
        <w:t>（以下简称“吾爱易达”）</w:t>
      </w:r>
    </w:p>
    <w:p w14:paraId="51967CA1"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住所：苏州市太仓市浏河镇珠江路56号1幢2层</w:t>
      </w:r>
    </w:p>
    <w:p w14:paraId="15380847"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法定代表人：刁志峰</w:t>
      </w:r>
    </w:p>
    <w:p w14:paraId="21A252D4" w14:textId="77777777" w:rsidR="00801551" w:rsidRDefault="00000000">
      <w:pPr>
        <w:spacing w:line="360" w:lineRule="auto"/>
        <w:ind w:firstLineChars="200" w:firstLine="480"/>
        <w:rPr>
          <w:rFonts w:ascii="宋体" w:hAnsi="宋体" w:cs="宋体" w:hint="eastAsia"/>
          <w:color w:val="FF0000"/>
          <w:sz w:val="24"/>
          <w:szCs w:val="24"/>
        </w:rPr>
      </w:pPr>
      <w:r>
        <w:rPr>
          <w:rFonts w:ascii="宋体" w:hAnsi="宋体" w:cs="宋体" w:hint="eastAsia"/>
          <w:sz w:val="24"/>
          <w:szCs w:val="24"/>
        </w:rPr>
        <w:t>注册资本：1214.02万元</w:t>
      </w:r>
    </w:p>
    <w:p w14:paraId="6B5049FB"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社会信用代码：</w:t>
      </w:r>
      <w:r>
        <w:rPr>
          <w:rFonts w:ascii="宋体" w:hAnsi="宋体" w:cs="宋体"/>
          <w:sz w:val="24"/>
          <w:szCs w:val="24"/>
        </w:rPr>
        <w:t>91320583MA21BJC77B</w:t>
      </w:r>
    </w:p>
    <w:p w14:paraId="02332084"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公司类型：有限责任公司</w:t>
      </w:r>
    </w:p>
    <w:p w14:paraId="7E732504"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成立日期：2020年</w:t>
      </w:r>
      <w:r>
        <w:rPr>
          <w:rFonts w:ascii="宋体" w:hAnsi="宋体" w:cs="宋体"/>
          <w:sz w:val="24"/>
          <w:szCs w:val="24"/>
        </w:rPr>
        <w:t>4</w:t>
      </w:r>
      <w:r>
        <w:rPr>
          <w:rFonts w:ascii="宋体" w:hAnsi="宋体" w:cs="宋体" w:hint="eastAsia"/>
          <w:sz w:val="24"/>
          <w:szCs w:val="24"/>
        </w:rPr>
        <w:t>月2</w:t>
      </w:r>
      <w:r>
        <w:rPr>
          <w:rFonts w:ascii="宋体" w:hAnsi="宋体" w:cs="宋体"/>
          <w:sz w:val="24"/>
          <w:szCs w:val="24"/>
        </w:rPr>
        <w:t>4</w:t>
      </w:r>
      <w:r>
        <w:rPr>
          <w:rFonts w:ascii="宋体" w:hAnsi="宋体" w:cs="宋体" w:hint="eastAsia"/>
          <w:sz w:val="24"/>
          <w:szCs w:val="24"/>
        </w:rPr>
        <w:t>日</w:t>
      </w:r>
    </w:p>
    <w:p w14:paraId="22600C15"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业务范围：许可项目：第二类增值电信业务（依法须经批准的项目，经相关部门批准后方可开展经营活动，具体经营项目以审批结果为准）一般项目：软件</w:t>
      </w:r>
      <w:r>
        <w:rPr>
          <w:rFonts w:ascii="宋体" w:hAnsi="宋体" w:cs="宋体" w:hint="eastAsia"/>
          <w:sz w:val="24"/>
          <w:szCs w:val="24"/>
        </w:rPr>
        <w:lastRenderedPageBreak/>
        <w:t>开发；软件销售；区块链技术相关软件和服务；信息安全设备制造；信息安全设备销售；信息系统集成服务；网络与信息安全软件开发；信息技术咨询服务；安防设备制造；安防设备销售；智能水务系统开发；智能仪器仪表制造；智能仪器仪表销售；半导体器件专用设备制造；技术服务、技术开发、技术咨询、技术交流、技术转让、技术推广；物联网设备制造；物联网设备销售；物联网技术服务；物联网应用服务；大数据服务；人工智能硬件销售；人工智能行业应用系统集成服务；人工智能基础软件开发；人工智能应用软件开发；智能控制系统集成；物联网技术研发（除依法须经批准的项目外，凭营业执照依法自主开展经营活动）</w:t>
      </w:r>
    </w:p>
    <w:p w14:paraId="59BC5553" w14:textId="77777777" w:rsidR="00801551" w:rsidRDefault="00000000">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截止2025年</w:t>
      </w:r>
      <w:r>
        <w:rPr>
          <w:rFonts w:ascii="宋体" w:hAnsi="宋体" w:cs="宋体"/>
          <w:color w:val="000000" w:themeColor="text1"/>
          <w:sz w:val="24"/>
          <w:szCs w:val="24"/>
        </w:rPr>
        <w:t>12</w:t>
      </w:r>
      <w:r>
        <w:rPr>
          <w:rFonts w:ascii="宋体" w:hAnsi="宋体" w:cs="宋体" w:hint="eastAsia"/>
          <w:color w:val="000000" w:themeColor="text1"/>
          <w:sz w:val="24"/>
          <w:szCs w:val="24"/>
        </w:rPr>
        <w:t>月3</w:t>
      </w:r>
      <w:r>
        <w:rPr>
          <w:rFonts w:ascii="宋体" w:hAnsi="宋体" w:cs="宋体"/>
          <w:color w:val="000000" w:themeColor="text1"/>
          <w:sz w:val="24"/>
          <w:szCs w:val="24"/>
        </w:rPr>
        <w:t>1</w:t>
      </w:r>
      <w:r>
        <w:rPr>
          <w:rFonts w:ascii="宋体" w:hAnsi="宋体" w:cs="宋体" w:hint="eastAsia"/>
          <w:color w:val="000000" w:themeColor="text1"/>
          <w:sz w:val="24"/>
          <w:szCs w:val="24"/>
        </w:rPr>
        <w:t>日吾爱易达总资产</w:t>
      </w:r>
      <w:r>
        <w:rPr>
          <w:rFonts w:ascii="宋体" w:hAnsi="宋体" w:cs="宋体"/>
          <w:color w:val="000000" w:themeColor="text1"/>
          <w:sz w:val="24"/>
          <w:szCs w:val="24"/>
        </w:rPr>
        <w:t>59,957,420.54</w:t>
      </w:r>
      <w:r>
        <w:rPr>
          <w:rFonts w:ascii="宋体" w:hAnsi="宋体" w:cs="宋体" w:hint="eastAsia"/>
          <w:color w:val="000000" w:themeColor="text1"/>
          <w:sz w:val="24"/>
          <w:szCs w:val="24"/>
        </w:rPr>
        <w:t>元，净资产</w:t>
      </w:r>
      <w:r>
        <w:rPr>
          <w:rFonts w:ascii="宋体" w:hAnsi="宋体" w:cs="宋体"/>
          <w:color w:val="000000" w:themeColor="text1"/>
          <w:sz w:val="24"/>
          <w:szCs w:val="24"/>
        </w:rPr>
        <w:t>50,414,745.98</w:t>
      </w:r>
      <w:r>
        <w:rPr>
          <w:rFonts w:ascii="宋体" w:hAnsi="宋体" w:cs="宋体" w:hint="eastAsia"/>
          <w:color w:val="000000" w:themeColor="text1"/>
          <w:sz w:val="24"/>
          <w:szCs w:val="24"/>
        </w:rPr>
        <w:t>元。2025年度实现营业收入</w:t>
      </w:r>
      <w:r>
        <w:rPr>
          <w:rFonts w:ascii="宋体" w:hAnsi="宋体" w:cs="宋体"/>
          <w:color w:val="000000" w:themeColor="text1"/>
          <w:sz w:val="24"/>
          <w:szCs w:val="24"/>
        </w:rPr>
        <w:t>95,883,366.04</w:t>
      </w:r>
      <w:r>
        <w:rPr>
          <w:rFonts w:ascii="宋体" w:hAnsi="宋体" w:cs="宋体" w:hint="eastAsia"/>
          <w:color w:val="000000" w:themeColor="text1"/>
          <w:sz w:val="24"/>
          <w:szCs w:val="24"/>
        </w:rPr>
        <w:t>元，净利润</w:t>
      </w:r>
      <w:r>
        <w:rPr>
          <w:rFonts w:ascii="宋体" w:hAnsi="宋体" w:cs="宋体"/>
          <w:color w:val="000000" w:themeColor="text1"/>
          <w:sz w:val="24"/>
          <w:szCs w:val="24"/>
        </w:rPr>
        <w:t>-4,987,293.08</w:t>
      </w:r>
      <w:r>
        <w:rPr>
          <w:rFonts w:ascii="宋体" w:hAnsi="宋体" w:cs="宋体" w:hint="eastAsia"/>
          <w:color w:val="000000" w:themeColor="text1"/>
          <w:sz w:val="24"/>
          <w:szCs w:val="24"/>
        </w:rPr>
        <w:t>元。（未经审计）</w:t>
      </w:r>
    </w:p>
    <w:p w14:paraId="292226DF" w14:textId="77777777" w:rsidR="00801551" w:rsidRDefault="00000000">
      <w:pPr>
        <w:spacing w:line="360" w:lineRule="auto"/>
        <w:ind w:firstLineChars="200" w:firstLine="482"/>
        <w:rPr>
          <w:rFonts w:ascii="宋体" w:hAnsi="宋体" w:cs="宋体" w:hint="eastAsia"/>
          <w:b/>
          <w:sz w:val="24"/>
          <w:szCs w:val="24"/>
        </w:rPr>
      </w:pPr>
      <w:r>
        <w:rPr>
          <w:rFonts w:ascii="宋体" w:hAnsi="宋体" w:cs="宋体" w:hint="eastAsia"/>
          <w:b/>
          <w:sz w:val="24"/>
          <w:szCs w:val="24"/>
        </w:rPr>
        <w:t>2、与公司的关联关系</w:t>
      </w:r>
    </w:p>
    <w:p w14:paraId="1E3A0B10"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公司副总经理赵彦华女士在吾爱易达担任董事职务，根据《深圳证券交易所股票上市规则》的相关规定，吾爱易达为公司的关联方。</w:t>
      </w:r>
    </w:p>
    <w:p w14:paraId="33C71451" w14:textId="77777777" w:rsidR="00801551" w:rsidRDefault="00000000">
      <w:pPr>
        <w:spacing w:line="360" w:lineRule="auto"/>
        <w:ind w:firstLineChars="200" w:firstLine="482"/>
        <w:rPr>
          <w:rFonts w:ascii="宋体" w:hAnsi="宋体" w:cs="宋体" w:hint="eastAsia"/>
          <w:b/>
          <w:sz w:val="24"/>
          <w:szCs w:val="24"/>
        </w:rPr>
      </w:pPr>
      <w:r>
        <w:rPr>
          <w:rFonts w:ascii="宋体" w:hAnsi="宋体" w:cs="宋体" w:hint="eastAsia"/>
          <w:b/>
          <w:sz w:val="24"/>
          <w:szCs w:val="24"/>
        </w:rPr>
        <w:t>3、履约能力分析</w:t>
      </w:r>
    </w:p>
    <w:p w14:paraId="77634768" w14:textId="77777777" w:rsidR="00801551"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吾爱易达财务及资信状况良好，具有良好的履约能力和支付能力，日常交易中能履行合同约定。</w:t>
      </w:r>
    </w:p>
    <w:p w14:paraId="36B754C5"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三</w:t>
      </w:r>
      <w:r>
        <w:rPr>
          <w:rFonts w:ascii="宋体" w:hAnsi="宋体"/>
          <w:b/>
          <w:sz w:val="24"/>
        </w:rPr>
        <w:t>、</w:t>
      </w:r>
      <w:r>
        <w:rPr>
          <w:rFonts w:ascii="宋体" w:hAnsi="宋体" w:hint="eastAsia"/>
          <w:b/>
          <w:sz w:val="24"/>
        </w:rPr>
        <w:t>关</w:t>
      </w:r>
      <w:r>
        <w:rPr>
          <w:rFonts w:ascii="宋体" w:hAnsi="宋体"/>
          <w:b/>
          <w:sz w:val="24"/>
        </w:rPr>
        <w:t>联</w:t>
      </w:r>
      <w:r>
        <w:rPr>
          <w:rFonts w:ascii="宋体" w:hAnsi="宋体" w:hint="eastAsia"/>
          <w:b/>
          <w:sz w:val="24"/>
        </w:rPr>
        <w:t>交易主要</w:t>
      </w:r>
      <w:r>
        <w:rPr>
          <w:rFonts w:ascii="宋体" w:hAnsi="宋体"/>
          <w:b/>
          <w:sz w:val="24"/>
        </w:rPr>
        <w:t>内容</w:t>
      </w:r>
    </w:p>
    <w:p w14:paraId="323BEA4D" w14:textId="77777777" w:rsidR="00801551" w:rsidRDefault="00000000">
      <w:pPr>
        <w:pStyle w:val="af1"/>
        <w:adjustRightInd/>
        <w:snapToGrid/>
        <w:spacing w:beforeLines="0" w:afterLines="0"/>
        <w:ind w:leftChars="0" w:left="51" w:rightChars="0" w:right="0" w:firstLine="482"/>
        <w:rPr>
          <w:rFonts w:hint="eastAsia"/>
          <w:szCs w:val="24"/>
        </w:rPr>
      </w:pPr>
      <w:r>
        <w:rPr>
          <w:rFonts w:hint="eastAsia"/>
          <w:szCs w:val="24"/>
        </w:rPr>
        <w:t>（一）关联交易主要内容</w:t>
      </w:r>
    </w:p>
    <w:p w14:paraId="3F98528E" w14:textId="77777777" w:rsidR="00801551" w:rsidRDefault="00000000">
      <w:pPr>
        <w:pStyle w:val="af1"/>
        <w:adjustRightInd/>
        <w:snapToGrid/>
        <w:spacing w:beforeLines="0" w:afterLines="0"/>
        <w:ind w:leftChars="0" w:left="51" w:rightChars="0" w:right="0" w:firstLine="480"/>
        <w:rPr>
          <w:rFonts w:hint="eastAsia"/>
          <w:b w:val="0"/>
          <w:szCs w:val="24"/>
        </w:rPr>
      </w:pPr>
      <w:r>
        <w:rPr>
          <w:rFonts w:hint="eastAsia"/>
          <w:b w:val="0"/>
          <w:szCs w:val="24"/>
        </w:rPr>
        <w:t>公司</w:t>
      </w:r>
      <w:r>
        <w:rPr>
          <w:b w:val="0"/>
          <w:szCs w:val="24"/>
        </w:rPr>
        <w:t>及</w:t>
      </w:r>
      <w:r>
        <w:rPr>
          <w:rFonts w:hint="eastAsia"/>
          <w:b w:val="0"/>
          <w:szCs w:val="24"/>
        </w:rPr>
        <w:t>控股</w:t>
      </w:r>
      <w:r>
        <w:rPr>
          <w:b w:val="0"/>
          <w:szCs w:val="24"/>
        </w:rPr>
        <w:t>子公司与上述关联方的关联交易主要为公司日常经营相关的销售</w:t>
      </w:r>
      <w:r>
        <w:rPr>
          <w:rFonts w:hint="eastAsia"/>
          <w:b w:val="0"/>
          <w:szCs w:val="24"/>
        </w:rPr>
        <w:t>、采购商品以及提供服务业务，交易价格按公平、公正、公开的原则，以市场价格为基础协商确定。</w:t>
      </w:r>
    </w:p>
    <w:p w14:paraId="51A3EF78" w14:textId="77777777" w:rsidR="00801551" w:rsidRDefault="00000000">
      <w:pPr>
        <w:pStyle w:val="af1"/>
        <w:adjustRightInd/>
        <w:snapToGrid/>
        <w:spacing w:beforeLines="0" w:afterLines="0"/>
        <w:ind w:leftChars="0" w:left="51" w:rightChars="0" w:right="0" w:firstLine="482"/>
        <w:rPr>
          <w:rFonts w:hint="eastAsia"/>
          <w:szCs w:val="24"/>
        </w:rPr>
      </w:pPr>
      <w:r>
        <w:rPr>
          <w:rFonts w:hint="eastAsia"/>
          <w:szCs w:val="24"/>
        </w:rPr>
        <w:t>（二）关联交易协议签署情况</w:t>
      </w:r>
    </w:p>
    <w:p w14:paraId="1926BF4A" w14:textId="77777777" w:rsidR="00801551" w:rsidRDefault="00000000">
      <w:pPr>
        <w:pStyle w:val="af1"/>
        <w:adjustRightInd/>
        <w:snapToGrid/>
        <w:spacing w:beforeLines="0" w:afterLines="0"/>
        <w:ind w:leftChars="0" w:left="51" w:rightChars="0" w:right="0" w:firstLine="480"/>
        <w:rPr>
          <w:rFonts w:hint="eastAsia"/>
          <w:b w:val="0"/>
          <w:szCs w:val="24"/>
        </w:rPr>
      </w:pPr>
      <w:r>
        <w:rPr>
          <w:b w:val="0"/>
          <w:szCs w:val="24"/>
        </w:rPr>
        <w:t>上述关联交易经公司董事会和股东会批准后，董事会将授权经营管理层在股东会决议的范围内结合实际业务发生情况与关联方签署具体交易协议，交易价格、交易内容、结算方式等主要条款将在协议签订时确定。</w:t>
      </w:r>
    </w:p>
    <w:p w14:paraId="573DE7AD"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四</w:t>
      </w:r>
      <w:r>
        <w:rPr>
          <w:rFonts w:ascii="宋体" w:hAnsi="宋体"/>
          <w:b/>
          <w:sz w:val="24"/>
        </w:rPr>
        <w:t>、关联交易的目的及对公司的影响</w:t>
      </w:r>
      <w:bookmarkStart w:id="5" w:name="OLE_LINK5"/>
    </w:p>
    <w:bookmarkEnd w:id="5"/>
    <w:p w14:paraId="3FCDD064" w14:textId="77777777" w:rsidR="00801551" w:rsidRDefault="00000000">
      <w:pPr>
        <w:spacing w:before="240" w:line="360" w:lineRule="auto"/>
        <w:ind w:firstLineChars="200" w:firstLine="480"/>
        <w:jc w:val="left"/>
        <w:rPr>
          <w:rFonts w:ascii="宋体" w:hAnsi="宋体" w:hint="eastAsia"/>
          <w:sz w:val="24"/>
          <w:szCs w:val="24"/>
        </w:rPr>
      </w:pPr>
      <w:r>
        <w:rPr>
          <w:rFonts w:ascii="宋体" w:hAnsi="宋体" w:hint="eastAsia"/>
          <w:sz w:val="24"/>
          <w:szCs w:val="24"/>
        </w:rPr>
        <w:t>公司与控股子公司同上述关联方之间的交易，属于满足日常生产经营所需</w:t>
      </w:r>
      <w:r>
        <w:rPr>
          <w:rFonts w:ascii="宋体" w:hAnsi="宋体" w:hint="eastAsia"/>
          <w:sz w:val="24"/>
          <w:szCs w:val="24"/>
        </w:rPr>
        <w:lastRenderedPageBreak/>
        <w:t>的正常业务活动，符合公司业务发展与持续经营的实际需求，遵循了常规的商业合作惯例。相关交易定价以市场原则为基础，坚持公允、公平、公正，不涉及利益输送，亦未损害公司及全体股东特别是中小股东的合法权益。此类关联交易不会对公司的业务独立性产生不利影响，公司主营业务也未因此对关联方形成依赖。</w:t>
      </w:r>
    </w:p>
    <w:bookmarkEnd w:id="2"/>
    <w:p w14:paraId="007AACA4"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color w:val="000000" w:themeColor="text1"/>
          <w:sz w:val="24"/>
        </w:rPr>
        <w:t>五</w:t>
      </w:r>
      <w:r>
        <w:rPr>
          <w:rFonts w:ascii="宋体" w:hAnsi="宋体"/>
          <w:b/>
          <w:color w:val="000000" w:themeColor="text1"/>
          <w:sz w:val="24"/>
        </w:rPr>
        <w:t>、</w:t>
      </w:r>
      <w:r>
        <w:rPr>
          <w:rFonts w:ascii="宋体" w:hAnsi="宋体" w:hint="eastAsia"/>
          <w:b/>
          <w:sz w:val="24"/>
        </w:rPr>
        <w:t>独立董事专门会议审议意见</w:t>
      </w:r>
    </w:p>
    <w:p w14:paraId="38D4B25A" w14:textId="77777777" w:rsidR="00801551" w:rsidRDefault="00000000">
      <w:pPr>
        <w:spacing w:line="360" w:lineRule="auto"/>
        <w:ind w:firstLineChars="200" w:firstLine="480"/>
        <w:jc w:val="left"/>
        <w:rPr>
          <w:rFonts w:ascii="宋体" w:hAnsi="宋体" w:hint="eastAsia"/>
          <w:sz w:val="24"/>
        </w:rPr>
      </w:pPr>
      <w:r>
        <w:rPr>
          <w:rFonts w:ascii="宋体" w:hAnsi="宋体" w:hint="eastAsia"/>
          <w:sz w:val="24"/>
        </w:rPr>
        <w:t>公司于2026年4月24日召开第六届董事会独立董事专门会议2026年第一次会议，以3票同意、0票反对、0票弃权的表决结果审议通过了《关于公司2026年度日常关联交易预计的议案》。公司全体独立董事一致认为：本次日常关联交易预计事项属于公司正常的经营行为，有利于增加公司营业收入和提升业务发展，交易行为合理、价格公允、不存在利用关联交易损害公司利益的情形，该关联交易对公司的独立性没有不利影响，同意将该议案提交公司第六届董事会第六次会议审议。董事会审议上述关联交易时，关联董事应予以回避。</w:t>
      </w:r>
    </w:p>
    <w:p w14:paraId="73B6A47D" w14:textId="77777777" w:rsidR="00801551" w:rsidRDefault="00000000">
      <w:pPr>
        <w:spacing w:before="240" w:line="360" w:lineRule="auto"/>
        <w:ind w:firstLineChars="200" w:firstLine="482"/>
        <w:jc w:val="left"/>
        <w:rPr>
          <w:rFonts w:ascii="宋体" w:hAnsi="宋体" w:hint="eastAsia"/>
          <w:b/>
          <w:sz w:val="24"/>
        </w:rPr>
      </w:pPr>
      <w:r>
        <w:rPr>
          <w:rFonts w:ascii="宋体" w:hAnsi="宋体" w:hint="eastAsia"/>
          <w:b/>
          <w:sz w:val="24"/>
        </w:rPr>
        <w:t>六、</w:t>
      </w:r>
      <w:r>
        <w:rPr>
          <w:rFonts w:ascii="宋体" w:hAnsi="宋体"/>
          <w:b/>
          <w:sz w:val="24"/>
        </w:rPr>
        <w:t>备查文件</w:t>
      </w:r>
    </w:p>
    <w:p w14:paraId="40D14CB1" w14:textId="77777777" w:rsidR="00801551" w:rsidRDefault="00000000">
      <w:pPr>
        <w:spacing w:line="360" w:lineRule="auto"/>
        <w:ind w:firstLineChars="200" w:firstLine="480"/>
        <w:jc w:val="left"/>
        <w:rPr>
          <w:rFonts w:ascii="宋体" w:hAnsi="宋体" w:hint="eastAsia"/>
          <w:sz w:val="24"/>
        </w:rPr>
      </w:pPr>
      <w:r>
        <w:rPr>
          <w:rFonts w:ascii="宋体" w:hAnsi="宋体" w:hint="eastAsia"/>
          <w:sz w:val="24"/>
        </w:rPr>
        <w:t>1、公司</w:t>
      </w:r>
      <w:r>
        <w:rPr>
          <w:rFonts w:ascii="宋体" w:hAnsi="宋体"/>
          <w:sz w:val="24"/>
        </w:rPr>
        <w:t>第六届董事会第六次会议决议</w:t>
      </w:r>
      <w:r>
        <w:rPr>
          <w:rFonts w:ascii="宋体" w:hAnsi="宋体" w:hint="eastAsia"/>
          <w:sz w:val="24"/>
        </w:rPr>
        <w:t>；</w:t>
      </w:r>
    </w:p>
    <w:p w14:paraId="1F1E566C" w14:textId="77777777" w:rsidR="00801551" w:rsidRDefault="00000000">
      <w:pPr>
        <w:spacing w:line="360" w:lineRule="auto"/>
        <w:ind w:firstLineChars="200" w:firstLine="480"/>
        <w:jc w:val="left"/>
        <w:rPr>
          <w:rFonts w:ascii="宋体" w:hAnsi="宋体" w:hint="eastAsia"/>
          <w:sz w:val="24"/>
        </w:rPr>
      </w:pPr>
      <w:r>
        <w:rPr>
          <w:rFonts w:ascii="宋体" w:hAnsi="宋体" w:hint="eastAsia"/>
          <w:sz w:val="24"/>
        </w:rPr>
        <w:t>2、第六届董事会独立董事专门会议2026年第一次会议审查意见。</w:t>
      </w:r>
    </w:p>
    <w:p w14:paraId="07BEA3E0" w14:textId="77777777" w:rsidR="00801551" w:rsidRDefault="00801551">
      <w:pPr>
        <w:spacing w:line="360" w:lineRule="auto"/>
        <w:rPr>
          <w:rFonts w:ascii="宋体" w:hAnsi="宋体" w:hint="eastAsia"/>
          <w:sz w:val="24"/>
          <w:szCs w:val="24"/>
        </w:rPr>
      </w:pPr>
    </w:p>
    <w:p w14:paraId="2904D8AF" w14:textId="77777777" w:rsidR="00801551" w:rsidRDefault="00000000">
      <w:pPr>
        <w:spacing w:line="360" w:lineRule="auto"/>
        <w:ind w:firstLineChars="200" w:firstLine="480"/>
        <w:rPr>
          <w:rFonts w:ascii="宋体" w:hAnsi="宋体" w:cs="宋体" w:hint="eastAsia"/>
          <w:sz w:val="24"/>
          <w:szCs w:val="24"/>
        </w:rPr>
      </w:pPr>
      <w:r>
        <w:rPr>
          <w:rFonts w:ascii="宋体" w:hAnsi="宋体" w:hint="eastAsia"/>
          <w:sz w:val="24"/>
          <w:szCs w:val="24"/>
        </w:rPr>
        <w:t>特</w:t>
      </w:r>
      <w:r>
        <w:rPr>
          <w:rFonts w:ascii="宋体" w:hAnsi="宋体"/>
          <w:sz w:val="24"/>
          <w:szCs w:val="24"/>
        </w:rPr>
        <w:t>此公告</w:t>
      </w:r>
      <w:r>
        <w:rPr>
          <w:rFonts w:ascii="宋体" w:hAnsi="宋体" w:hint="eastAsia"/>
          <w:sz w:val="24"/>
          <w:szCs w:val="24"/>
        </w:rPr>
        <w:t>。</w:t>
      </w:r>
    </w:p>
    <w:p w14:paraId="652A853A" w14:textId="77777777" w:rsidR="00801551" w:rsidRDefault="00000000">
      <w:pPr>
        <w:spacing w:line="360" w:lineRule="auto"/>
        <w:ind w:firstLineChars="196" w:firstLine="470"/>
        <w:jc w:val="right"/>
        <w:rPr>
          <w:rFonts w:ascii="宋体" w:hAnsi="宋体" w:cs="宋体" w:hint="eastAsia"/>
          <w:sz w:val="24"/>
          <w:szCs w:val="24"/>
        </w:rPr>
      </w:pPr>
      <w:r>
        <w:rPr>
          <w:rFonts w:ascii="宋体" w:hAnsi="宋体" w:cs="宋体" w:hint="eastAsia"/>
          <w:sz w:val="24"/>
          <w:szCs w:val="24"/>
        </w:rPr>
        <w:t>浙江威星智能仪表股份有限公司</w:t>
      </w:r>
    </w:p>
    <w:p w14:paraId="2B45EC8C" w14:textId="77777777" w:rsidR="00801551" w:rsidRDefault="00000000">
      <w:pPr>
        <w:spacing w:line="360" w:lineRule="auto"/>
        <w:ind w:firstLineChars="196" w:firstLine="470"/>
        <w:jc w:val="right"/>
        <w:rPr>
          <w:rFonts w:ascii="宋体" w:hAnsi="宋体" w:hint="eastAsia"/>
          <w:sz w:val="24"/>
          <w:szCs w:val="24"/>
        </w:rPr>
      </w:pPr>
      <w:r>
        <w:rPr>
          <w:rFonts w:ascii="宋体" w:hAnsi="宋体" w:cs="宋体" w:hint="eastAsia"/>
          <w:sz w:val="24"/>
          <w:szCs w:val="24"/>
        </w:rPr>
        <w:t>董事</w:t>
      </w:r>
      <w:r>
        <w:rPr>
          <w:rFonts w:ascii="宋体" w:hAnsi="宋体" w:cs="宋体"/>
          <w:sz w:val="24"/>
          <w:szCs w:val="24"/>
        </w:rPr>
        <w:t>会</w:t>
      </w:r>
    </w:p>
    <w:p w14:paraId="34906E9B" w14:textId="77777777" w:rsidR="00801551" w:rsidRDefault="00000000">
      <w:pPr>
        <w:spacing w:line="360" w:lineRule="auto"/>
        <w:ind w:firstLineChars="196" w:firstLine="470"/>
        <w:jc w:val="right"/>
        <w:rPr>
          <w:rFonts w:ascii="宋体" w:hAnsi="宋体" w:hint="eastAsia"/>
        </w:rPr>
      </w:pPr>
      <w:r>
        <w:rPr>
          <w:rFonts w:ascii="宋体" w:hAnsi="宋体" w:cs="宋体"/>
          <w:sz w:val="24"/>
          <w:szCs w:val="24"/>
        </w:rPr>
        <w:t>2026年4</w:t>
      </w:r>
      <w:r>
        <w:rPr>
          <w:rFonts w:ascii="宋体" w:hAnsi="宋体" w:cs="宋体" w:hint="eastAsia"/>
          <w:color w:val="000000" w:themeColor="text1"/>
          <w:sz w:val="24"/>
          <w:szCs w:val="24"/>
        </w:rPr>
        <w:t>月</w:t>
      </w:r>
      <w:r>
        <w:rPr>
          <w:rFonts w:ascii="宋体" w:hAnsi="宋体"/>
          <w:color w:val="000000" w:themeColor="text1"/>
          <w:sz w:val="24"/>
        </w:rPr>
        <w:t>2</w:t>
      </w:r>
      <w:r>
        <w:rPr>
          <w:rFonts w:ascii="宋体" w:hAnsi="宋体" w:hint="eastAsia"/>
          <w:color w:val="000000" w:themeColor="text1"/>
          <w:sz w:val="24"/>
        </w:rPr>
        <w:t>8</w:t>
      </w:r>
      <w:r>
        <w:rPr>
          <w:rFonts w:ascii="宋体" w:hAnsi="宋体" w:cs="宋体" w:hint="eastAsia"/>
          <w:color w:val="000000" w:themeColor="text1"/>
          <w:sz w:val="24"/>
          <w:szCs w:val="24"/>
        </w:rPr>
        <w:t>日</w:t>
      </w:r>
    </w:p>
    <w:sectPr w:rsidR="00801551">
      <w:pgSz w:w="11906" w:h="16838"/>
      <w:pgMar w:top="1440" w:right="1800" w:bottom="124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42"/>
    <w:rsid w:val="00002650"/>
    <w:rsid w:val="00004789"/>
    <w:rsid w:val="000077ED"/>
    <w:rsid w:val="00020473"/>
    <w:rsid w:val="0003555D"/>
    <w:rsid w:val="00035AD6"/>
    <w:rsid w:val="000435A6"/>
    <w:rsid w:val="00050394"/>
    <w:rsid w:val="00050F3C"/>
    <w:rsid w:val="00053378"/>
    <w:rsid w:val="00056D4B"/>
    <w:rsid w:val="00057776"/>
    <w:rsid w:val="00062F27"/>
    <w:rsid w:val="00064ADE"/>
    <w:rsid w:val="00065239"/>
    <w:rsid w:val="00065F28"/>
    <w:rsid w:val="000734F4"/>
    <w:rsid w:val="00075E6C"/>
    <w:rsid w:val="00077A41"/>
    <w:rsid w:val="0008210B"/>
    <w:rsid w:val="00087ED1"/>
    <w:rsid w:val="000912A7"/>
    <w:rsid w:val="00091B7C"/>
    <w:rsid w:val="00093B3C"/>
    <w:rsid w:val="000947BB"/>
    <w:rsid w:val="00094B4A"/>
    <w:rsid w:val="00095F15"/>
    <w:rsid w:val="000A54DE"/>
    <w:rsid w:val="000A620B"/>
    <w:rsid w:val="000A683B"/>
    <w:rsid w:val="000B1036"/>
    <w:rsid w:val="000B5A44"/>
    <w:rsid w:val="000D0377"/>
    <w:rsid w:val="000D46AC"/>
    <w:rsid w:val="000D7C8E"/>
    <w:rsid w:val="000E297E"/>
    <w:rsid w:val="000F0FCE"/>
    <w:rsid w:val="001008FC"/>
    <w:rsid w:val="001010B3"/>
    <w:rsid w:val="00104F9C"/>
    <w:rsid w:val="00106F8D"/>
    <w:rsid w:val="00110273"/>
    <w:rsid w:val="00133617"/>
    <w:rsid w:val="00146622"/>
    <w:rsid w:val="00151DD9"/>
    <w:rsid w:val="0015220C"/>
    <w:rsid w:val="00157473"/>
    <w:rsid w:val="00160040"/>
    <w:rsid w:val="00162E28"/>
    <w:rsid w:val="001644D0"/>
    <w:rsid w:val="00174813"/>
    <w:rsid w:val="00177642"/>
    <w:rsid w:val="00191225"/>
    <w:rsid w:val="00192931"/>
    <w:rsid w:val="001979FB"/>
    <w:rsid w:val="001A1DAA"/>
    <w:rsid w:val="001A526D"/>
    <w:rsid w:val="001B09CC"/>
    <w:rsid w:val="001B235A"/>
    <w:rsid w:val="001C021D"/>
    <w:rsid w:val="001C6AE5"/>
    <w:rsid w:val="001D6BE1"/>
    <w:rsid w:val="001D72CE"/>
    <w:rsid w:val="001E31DD"/>
    <w:rsid w:val="001E3C1C"/>
    <w:rsid w:val="001F0CF2"/>
    <w:rsid w:val="001F3170"/>
    <w:rsid w:val="001F6ACD"/>
    <w:rsid w:val="00202F99"/>
    <w:rsid w:val="00203ADC"/>
    <w:rsid w:val="002165BC"/>
    <w:rsid w:val="002206C7"/>
    <w:rsid w:val="0022627B"/>
    <w:rsid w:val="00233909"/>
    <w:rsid w:val="00236E20"/>
    <w:rsid w:val="0024153F"/>
    <w:rsid w:val="00242321"/>
    <w:rsid w:val="002548AA"/>
    <w:rsid w:val="00262173"/>
    <w:rsid w:val="0026773D"/>
    <w:rsid w:val="0027448A"/>
    <w:rsid w:val="00274A75"/>
    <w:rsid w:val="00275FAA"/>
    <w:rsid w:val="002775E1"/>
    <w:rsid w:val="00280863"/>
    <w:rsid w:val="002A685D"/>
    <w:rsid w:val="002B7AA3"/>
    <w:rsid w:val="002C3478"/>
    <w:rsid w:val="002D0D07"/>
    <w:rsid w:val="002D0D21"/>
    <w:rsid w:val="002D1DF1"/>
    <w:rsid w:val="002D2766"/>
    <w:rsid w:val="002D5032"/>
    <w:rsid w:val="002D57A8"/>
    <w:rsid w:val="002E1BFA"/>
    <w:rsid w:val="002E6AE3"/>
    <w:rsid w:val="002E6ED0"/>
    <w:rsid w:val="002E7F92"/>
    <w:rsid w:val="002F3BD8"/>
    <w:rsid w:val="002F44E2"/>
    <w:rsid w:val="002F4A6A"/>
    <w:rsid w:val="002F5109"/>
    <w:rsid w:val="00300CDF"/>
    <w:rsid w:val="003027BF"/>
    <w:rsid w:val="0030495B"/>
    <w:rsid w:val="0031062A"/>
    <w:rsid w:val="00321E4B"/>
    <w:rsid w:val="003225F3"/>
    <w:rsid w:val="003240C0"/>
    <w:rsid w:val="003242AE"/>
    <w:rsid w:val="0033296A"/>
    <w:rsid w:val="00332DA5"/>
    <w:rsid w:val="00335E66"/>
    <w:rsid w:val="00342F0F"/>
    <w:rsid w:val="00345A64"/>
    <w:rsid w:val="00346978"/>
    <w:rsid w:val="00350D8B"/>
    <w:rsid w:val="00370810"/>
    <w:rsid w:val="00377D74"/>
    <w:rsid w:val="00380D64"/>
    <w:rsid w:val="003839B5"/>
    <w:rsid w:val="00385863"/>
    <w:rsid w:val="0039536F"/>
    <w:rsid w:val="00395E96"/>
    <w:rsid w:val="00396B86"/>
    <w:rsid w:val="003A0D2E"/>
    <w:rsid w:val="003A1E8D"/>
    <w:rsid w:val="003A26C0"/>
    <w:rsid w:val="003A2C37"/>
    <w:rsid w:val="003B13AB"/>
    <w:rsid w:val="003B194A"/>
    <w:rsid w:val="003B3D80"/>
    <w:rsid w:val="003D26D9"/>
    <w:rsid w:val="003D2D58"/>
    <w:rsid w:val="003D6801"/>
    <w:rsid w:val="003E160E"/>
    <w:rsid w:val="003E2AC1"/>
    <w:rsid w:val="003E3A65"/>
    <w:rsid w:val="003E3E91"/>
    <w:rsid w:val="003E4903"/>
    <w:rsid w:val="003F1C6C"/>
    <w:rsid w:val="003F3F5D"/>
    <w:rsid w:val="003F710E"/>
    <w:rsid w:val="00402928"/>
    <w:rsid w:val="004120B0"/>
    <w:rsid w:val="004202A6"/>
    <w:rsid w:val="00424929"/>
    <w:rsid w:val="00426A73"/>
    <w:rsid w:val="00435CEA"/>
    <w:rsid w:val="0043609F"/>
    <w:rsid w:val="0044420F"/>
    <w:rsid w:val="00450F1D"/>
    <w:rsid w:val="004522ED"/>
    <w:rsid w:val="004553D9"/>
    <w:rsid w:val="00455D43"/>
    <w:rsid w:val="004574E6"/>
    <w:rsid w:val="00460F91"/>
    <w:rsid w:val="00463512"/>
    <w:rsid w:val="0046793C"/>
    <w:rsid w:val="00467982"/>
    <w:rsid w:val="00477D6F"/>
    <w:rsid w:val="00481697"/>
    <w:rsid w:val="00482DEE"/>
    <w:rsid w:val="00490CF0"/>
    <w:rsid w:val="00490D89"/>
    <w:rsid w:val="004930CE"/>
    <w:rsid w:val="004959CC"/>
    <w:rsid w:val="00497C73"/>
    <w:rsid w:val="004A0FF6"/>
    <w:rsid w:val="004A2D88"/>
    <w:rsid w:val="004A61A6"/>
    <w:rsid w:val="004A61BD"/>
    <w:rsid w:val="004B11EB"/>
    <w:rsid w:val="004B59F7"/>
    <w:rsid w:val="004B5E0B"/>
    <w:rsid w:val="004C114E"/>
    <w:rsid w:val="004C457A"/>
    <w:rsid w:val="004D0D78"/>
    <w:rsid w:val="004D473B"/>
    <w:rsid w:val="004D47AF"/>
    <w:rsid w:val="004D485E"/>
    <w:rsid w:val="004D4C6E"/>
    <w:rsid w:val="004D4C7E"/>
    <w:rsid w:val="004D7F7E"/>
    <w:rsid w:val="004E2BB3"/>
    <w:rsid w:val="004E7B8A"/>
    <w:rsid w:val="004F2313"/>
    <w:rsid w:val="0050375D"/>
    <w:rsid w:val="00503E10"/>
    <w:rsid w:val="00511586"/>
    <w:rsid w:val="00512EA1"/>
    <w:rsid w:val="00513573"/>
    <w:rsid w:val="00523F30"/>
    <w:rsid w:val="00525753"/>
    <w:rsid w:val="00527440"/>
    <w:rsid w:val="0053684F"/>
    <w:rsid w:val="005456C7"/>
    <w:rsid w:val="00546E5B"/>
    <w:rsid w:val="00550DBB"/>
    <w:rsid w:val="00551C4C"/>
    <w:rsid w:val="00551F0A"/>
    <w:rsid w:val="00552361"/>
    <w:rsid w:val="00552E67"/>
    <w:rsid w:val="005643B3"/>
    <w:rsid w:val="005643FA"/>
    <w:rsid w:val="0057303D"/>
    <w:rsid w:val="00573B47"/>
    <w:rsid w:val="005750DB"/>
    <w:rsid w:val="00577894"/>
    <w:rsid w:val="00580041"/>
    <w:rsid w:val="00583D1A"/>
    <w:rsid w:val="00584F50"/>
    <w:rsid w:val="00590981"/>
    <w:rsid w:val="005A1CD5"/>
    <w:rsid w:val="005A301F"/>
    <w:rsid w:val="005B1E5B"/>
    <w:rsid w:val="005B48DC"/>
    <w:rsid w:val="005B6342"/>
    <w:rsid w:val="005C0374"/>
    <w:rsid w:val="005C0A8E"/>
    <w:rsid w:val="005C759F"/>
    <w:rsid w:val="005D3E26"/>
    <w:rsid w:val="005D598D"/>
    <w:rsid w:val="005D5BF4"/>
    <w:rsid w:val="005D6426"/>
    <w:rsid w:val="005D6ED0"/>
    <w:rsid w:val="005F4CE8"/>
    <w:rsid w:val="00614B41"/>
    <w:rsid w:val="00615739"/>
    <w:rsid w:val="006178AF"/>
    <w:rsid w:val="00621B45"/>
    <w:rsid w:val="00623696"/>
    <w:rsid w:val="00626EB3"/>
    <w:rsid w:val="006337F4"/>
    <w:rsid w:val="00633D90"/>
    <w:rsid w:val="006352F2"/>
    <w:rsid w:val="00635EAA"/>
    <w:rsid w:val="00636214"/>
    <w:rsid w:val="0063629D"/>
    <w:rsid w:val="00636FD7"/>
    <w:rsid w:val="00637A5C"/>
    <w:rsid w:val="00640EA2"/>
    <w:rsid w:val="00642F58"/>
    <w:rsid w:val="00645F82"/>
    <w:rsid w:val="00655ECD"/>
    <w:rsid w:val="00656DF9"/>
    <w:rsid w:val="006608D1"/>
    <w:rsid w:val="0066199A"/>
    <w:rsid w:val="00662E96"/>
    <w:rsid w:val="00675419"/>
    <w:rsid w:val="00681C3A"/>
    <w:rsid w:val="00683A1A"/>
    <w:rsid w:val="00685741"/>
    <w:rsid w:val="00696BCC"/>
    <w:rsid w:val="006A1632"/>
    <w:rsid w:val="006A1FF0"/>
    <w:rsid w:val="006B10BC"/>
    <w:rsid w:val="006C613F"/>
    <w:rsid w:val="006C660F"/>
    <w:rsid w:val="006C73B3"/>
    <w:rsid w:val="006D3014"/>
    <w:rsid w:val="006D312D"/>
    <w:rsid w:val="006D48FD"/>
    <w:rsid w:val="006D4A6B"/>
    <w:rsid w:val="006D74E7"/>
    <w:rsid w:val="006D779C"/>
    <w:rsid w:val="006E3484"/>
    <w:rsid w:val="006E35B3"/>
    <w:rsid w:val="006E3C72"/>
    <w:rsid w:val="006E77A7"/>
    <w:rsid w:val="006E7E4A"/>
    <w:rsid w:val="006F1809"/>
    <w:rsid w:val="006F398C"/>
    <w:rsid w:val="006F6670"/>
    <w:rsid w:val="006F69B2"/>
    <w:rsid w:val="007076AE"/>
    <w:rsid w:val="00710DF0"/>
    <w:rsid w:val="00715191"/>
    <w:rsid w:val="00717D8B"/>
    <w:rsid w:val="00720945"/>
    <w:rsid w:val="00721DC1"/>
    <w:rsid w:val="00732AD0"/>
    <w:rsid w:val="00734E67"/>
    <w:rsid w:val="00740715"/>
    <w:rsid w:val="007422A6"/>
    <w:rsid w:val="007444C5"/>
    <w:rsid w:val="00746C42"/>
    <w:rsid w:val="007516AA"/>
    <w:rsid w:val="007547EF"/>
    <w:rsid w:val="007600CD"/>
    <w:rsid w:val="00761879"/>
    <w:rsid w:val="007629DF"/>
    <w:rsid w:val="00763565"/>
    <w:rsid w:val="00765FC6"/>
    <w:rsid w:val="0077221F"/>
    <w:rsid w:val="00772A64"/>
    <w:rsid w:val="00774F1C"/>
    <w:rsid w:val="007755AF"/>
    <w:rsid w:val="00775C50"/>
    <w:rsid w:val="00781A96"/>
    <w:rsid w:val="007826AD"/>
    <w:rsid w:val="00792948"/>
    <w:rsid w:val="007B423C"/>
    <w:rsid w:val="007B7073"/>
    <w:rsid w:val="007D1D27"/>
    <w:rsid w:val="007D5112"/>
    <w:rsid w:val="007E049E"/>
    <w:rsid w:val="007E4BB3"/>
    <w:rsid w:val="007E6592"/>
    <w:rsid w:val="007F1F94"/>
    <w:rsid w:val="007F7A44"/>
    <w:rsid w:val="007F7C7E"/>
    <w:rsid w:val="00801551"/>
    <w:rsid w:val="008022A0"/>
    <w:rsid w:val="008030EA"/>
    <w:rsid w:val="0080332B"/>
    <w:rsid w:val="00804C84"/>
    <w:rsid w:val="00810900"/>
    <w:rsid w:val="00811115"/>
    <w:rsid w:val="00823C66"/>
    <w:rsid w:val="008328DC"/>
    <w:rsid w:val="00836C8D"/>
    <w:rsid w:val="00841E00"/>
    <w:rsid w:val="00845358"/>
    <w:rsid w:val="00847F31"/>
    <w:rsid w:val="00851EF2"/>
    <w:rsid w:val="00852285"/>
    <w:rsid w:val="00867490"/>
    <w:rsid w:val="008674C8"/>
    <w:rsid w:val="008738BE"/>
    <w:rsid w:val="00880F87"/>
    <w:rsid w:val="00880F94"/>
    <w:rsid w:val="00886625"/>
    <w:rsid w:val="00892583"/>
    <w:rsid w:val="00892EFC"/>
    <w:rsid w:val="008A2530"/>
    <w:rsid w:val="008A4C1E"/>
    <w:rsid w:val="008A603A"/>
    <w:rsid w:val="008A7859"/>
    <w:rsid w:val="008B73A6"/>
    <w:rsid w:val="008B7D83"/>
    <w:rsid w:val="008C159A"/>
    <w:rsid w:val="008C335F"/>
    <w:rsid w:val="008C6349"/>
    <w:rsid w:val="008E6D4E"/>
    <w:rsid w:val="008F2291"/>
    <w:rsid w:val="008F28F4"/>
    <w:rsid w:val="008F6B7F"/>
    <w:rsid w:val="0090086E"/>
    <w:rsid w:val="009033D8"/>
    <w:rsid w:val="009060CC"/>
    <w:rsid w:val="0091179C"/>
    <w:rsid w:val="00911E6F"/>
    <w:rsid w:val="00912684"/>
    <w:rsid w:val="0091414C"/>
    <w:rsid w:val="0091715A"/>
    <w:rsid w:val="00920BA9"/>
    <w:rsid w:val="00921685"/>
    <w:rsid w:val="00921E7C"/>
    <w:rsid w:val="009226AA"/>
    <w:rsid w:val="00922D2F"/>
    <w:rsid w:val="00923C89"/>
    <w:rsid w:val="0092579C"/>
    <w:rsid w:val="00931F0F"/>
    <w:rsid w:val="009364A6"/>
    <w:rsid w:val="009366C7"/>
    <w:rsid w:val="00952AD4"/>
    <w:rsid w:val="00952EE5"/>
    <w:rsid w:val="00957F1A"/>
    <w:rsid w:val="00963794"/>
    <w:rsid w:val="009705C2"/>
    <w:rsid w:val="00970AF9"/>
    <w:rsid w:val="00970FB5"/>
    <w:rsid w:val="00971559"/>
    <w:rsid w:val="009742AB"/>
    <w:rsid w:val="0097720F"/>
    <w:rsid w:val="00983DCB"/>
    <w:rsid w:val="00983F50"/>
    <w:rsid w:val="0098542E"/>
    <w:rsid w:val="00987174"/>
    <w:rsid w:val="00990272"/>
    <w:rsid w:val="009975DD"/>
    <w:rsid w:val="009976A6"/>
    <w:rsid w:val="009A71B6"/>
    <w:rsid w:val="009C2DD6"/>
    <w:rsid w:val="009C3919"/>
    <w:rsid w:val="009C3D50"/>
    <w:rsid w:val="009C512D"/>
    <w:rsid w:val="009E7B3D"/>
    <w:rsid w:val="009F435D"/>
    <w:rsid w:val="009F560E"/>
    <w:rsid w:val="00A01A89"/>
    <w:rsid w:val="00A02D0E"/>
    <w:rsid w:val="00A113F7"/>
    <w:rsid w:val="00A17FAF"/>
    <w:rsid w:val="00A244FF"/>
    <w:rsid w:val="00A3252A"/>
    <w:rsid w:val="00A3381A"/>
    <w:rsid w:val="00A41BC9"/>
    <w:rsid w:val="00A42A63"/>
    <w:rsid w:val="00A514B7"/>
    <w:rsid w:val="00A54D64"/>
    <w:rsid w:val="00A612D5"/>
    <w:rsid w:val="00A67768"/>
    <w:rsid w:val="00A67F74"/>
    <w:rsid w:val="00A7165F"/>
    <w:rsid w:val="00A72313"/>
    <w:rsid w:val="00A7276D"/>
    <w:rsid w:val="00A806B8"/>
    <w:rsid w:val="00A81220"/>
    <w:rsid w:val="00A83F0C"/>
    <w:rsid w:val="00A87FA1"/>
    <w:rsid w:val="00A91CDA"/>
    <w:rsid w:val="00AA1297"/>
    <w:rsid w:val="00AA4E33"/>
    <w:rsid w:val="00AB0325"/>
    <w:rsid w:val="00AB104C"/>
    <w:rsid w:val="00AC0286"/>
    <w:rsid w:val="00AC1EC2"/>
    <w:rsid w:val="00AC1EC7"/>
    <w:rsid w:val="00AC239B"/>
    <w:rsid w:val="00AC2684"/>
    <w:rsid w:val="00AC7298"/>
    <w:rsid w:val="00AD08FA"/>
    <w:rsid w:val="00AD73B7"/>
    <w:rsid w:val="00AE20ED"/>
    <w:rsid w:val="00AF0760"/>
    <w:rsid w:val="00B01616"/>
    <w:rsid w:val="00B01CCC"/>
    <w:rsid w:val="00B03C0D"/>
    <w:rsid w:val="00B06FCF"/>
    <w:rsid w:val="00B109D0"/>
    <w:rsid w:val="00B16B9A"/>
    <w:rsid w:val="00B20450"/>
    <w:rsid w:val="00B34F81"/>
    <w:rsid w:val="00B418F1"/>
    <w:rsid w:val="00B4276E"/>
    <w:rsid w:val="00B47073"/>
    <w:rsid w:val="00B474E1"/>
    <w:rsid w:val="00B47C03"/>
    <w:rsid w:val="00B47E92"/>
    <w:rsid w:val="00B57BAB"/>
    <w:rsid w:val="00B57D93"/>
    <w:rsid w:val="00B6064A"/>
    <w:rsid w:val="00B63967"/>
    <w:rsid w:val="00B64AA7"/>
    <w:rsid w:val="00B740E9"/>
    <w:rsid w:val="00B815A6"/>
    <w:rsid w:val="00B91184"/>
    <w:rsid w:val="00B91CCB"/>
    <w:rsid w:val="00B924B0"/>
    <w:rsid w:val="00B92C63"/>
    <w:rsid w:val="00B95D4D"/>
    <w:rsid w:val="00BA147D"/>
    <w:rsid w:val="00BA6AC6"/>
    <w:rsid w:val="00BA6EF6"/>
    <w:rsid w:val="00BB1569"/>
    <w:rsid w:val="00BB5EF1"/>
    <w:rsid w:val="00BB76CD"/>
    <w:rsid w:val="00BC539B"/>
    <w:rsid w:val="00BC6CFE"/>
    <w:rsid w:val="00BC7922"/>
    <w:rsid w:val="00BD0415"/>
    <w:rsid w:val="00BD336F"/>
    <w:rsid w:val="00BE1BE2"/>
    <w:rsid w:val="00BE5A2B"/>
    <w:rsid w:val="00BE7129"/>
    <w:rsid w:val="00BE79FF"/>
    <w:rsid w:val="00BF2BD0"/>
    <w:rsid w:val="00BF5E1A"/>
    <w:rsid w:val="00C0050B"/>
    <w:rsid w:val="00C035CE"/>
    <w:rsid w:val="00C144AA"/>
    <w:rsid w:val="00C20410"/>
    <w:rsid w:val="00C230C3"/>
    <w:rsid w:val="00C23F3E"/>
    <w:rsid w:val="00C24941"/>
    <w:rsid w:val="00C27B64"/>
    <w:rsid w:val="00C27CB3"/>
    <w:rsid w:val="00C33F56"/>
    <w:rsid w:val="00C4786E"/>
    <w:rsid w:val="00C523EC"/>
    <w:rsid w:val="00C532E0"/>
    <w:rsid w:val="00C552BB"/>
    <w:rsid w:val="00C62786"/>
    <w:rsid w:val="00C81BB7"/>
    <w:rsid w:val="00C85F8C"/>
    <w:rsid w:val="00CA7183"/>
    <w:rsid w:val="00CB312B"/>
    <w:rsid w:val="00CB33BE"/>
    <w:rsid w:val="00CC3A0D"/>
    <w:rsid w:val="00CC4FF5"/>
    <w:rsid w:val="00CC702F"/>
    <w:rsid w:val="00CC7CDA"/>
    <w:rsid w:val="00CD0CB2"/>
    <w:rsid w:val="00CD1C68"/>
    <w:rsid w:val="00CE0C9E"/>
    <w:rsid w:val="00CE5211"/>
    <w:rsid w:val="00CE73C1"/>
    <w:rsid w:val="00CF2C11"/>
    <w:rsid w:val="00CF5601"/>
    <w:rsid w:val="00CF56C0"/>
    <w:rsid w:val="00CF707D"/>
    <w:rsid w:val="00D03450"/>
    <w:rsid w:val="00D10C86"/>
    <w:rsid w:val="00D12783"/>
    <w:rsid w:val="00D1466A"/>
    <w:rsid w:val="00D15158"/>
    <w:rsid w:val="00D2173C"/>
    <w:rsid w:val="00D23014"/>
    <w:rsid w:val="00D312BE"/>
    <w:rsid w:val="00D40231"/>
    <w:rsid w:val="00D624C8"/>
    <w:rsid w:val="00D67F9B"/>
    <w:rsid w:val="00D71F2F"/>
    <w:rsid w:val="00D74BAC"/>
    <w:rsid w:val="00D75F45"/>
    <w:rsid w:val="00D864EF"/>
    <w:rsid w:val="00D870AF"/>
    <w:rsid w:val="00D92998"/>
    <w:rsid w:val="00D932B1"/>
    <w:rsid w:val="00D96F8B"/>
    <w:rsid w:val="00DA1602"/>
    <w:rsid w:val="00DB04C5"/>
    <w:rsid w:val="00DB4D9E"/>
    <w:rsid w:val="00DC3011"/>
    <w:rsid w:val="00DC37C6"/>
    <w:rsid w:val="00DC4F0E"/>
    <w:rsid w:val="00DD2429"/>
    <w:rsid w:val="00DE07C1"/>
    <w:rsid w:val="00DE3D79"/>
    <w:rsid w:val="00DE4652"/>
    <w:rsid w:val="00DE6D51"/>
    <w:rsid w:val="00DF1DBD"/>
    <w:rsid w:val="00E03060"/>
    <w:rsid w:val="00E11C07"/>
    <w:rsid w:val="00E15724"/>
    <w:rsid w:val="00E30ABF"/>
    <w:rsid w:val="00E43D18"/>
    <w:rsid w:val="00E447E4"/>
    <w:rsid w:val="00E5118C"/>
    <w:rsid w:val="00E5570F"/>
    <w:rsid w:val="00E65832"/>
    <w:rsid w:val="00E73BE2"/>
    <w:rsid w:val="00E73DB3"/>
    <w:rsid w:val="00E84E65"/>
    <w:rsid w:val="00E87098"/>
    <w:rsid w:val="00E91A60"/>
    <w:rsid w:val="00E91C3B"/>
    <w:rsid w:val="00E95F8D"/>
    <w:rsid w:val="00E96E61"/>
    <w:rsid w:val="00EC0172"/>
    <w:rsid w:val="00EC02A8"/>
    <w:rsid w:val="00EC1889"/>
    <w:rsid w:val="00EC7193"/>
    <w:rsid w:val="00ED2F5F"/>
    <w:rsid w:val="00EE0020"/>
    <w:rsid w:val="00EE2005"/>
    <w:rsid w:val="00EE3806"/>
    <w:rsid w:val="00EE5494"/>
    <w:rsid w:val="00EE7710"/>
    <w:rsid w:val="00EE7CF1"/>
    <w:rsid w:val="00EF29D6"/>
    <w:rsid w:val="00EF7F2C"/>
    <w:rsid w:val="00F021D8"/>
    <w:rsid w:val="00F05188"/>
    <w:rsid w:val="00F05983"/>
    <w:rsid w:val="00F12653"/>
    <w:rsid w:val="00F2543A"/>
    <w:rsid w:val="00F3018B"/>
    <w:rsid w:val="00F33570"/>
    <w:rsid w:val="00F34D4D"/>
    <w:rsid w:val="00F47A95"/>
    <w:rsid w:val="00F47FEF"/>
    <w:rsid w:val="00F525CE"/>
    <w:rsid w:val="00F54C43"/>
    <w:rsid w:val="00F63A59"/>
    <w:rsid w:val="00F678C5"/>
    <w:rsid w:val="00F67BAF"/>
    <w:rsid w:val="00F73584"/>
    <w:rsid w:val="00F736EF"/>
    <w:rsid w:val="00F7595E"/>
    <w:rsid w:val="00F766AA"/>
    <w:rsid w:val="00F81374"/>
    <w:rsid w:val="00F8370D"/>
    <w:rsid w:val="00F83BA7"/>
    <w:rsid w:val="00F841E7"/>
    <w:rsid w:val="00F86E8B"/>
    <w:rsid w:val="00F94F2E"/>
    <w:rsid w:val="00F9741A"/>
    <w:rsid w:val="00FA3741"/>
    <w:rsid w:val="00FB23A1"/>
    <w:rsid w:val="00FB2A5F"/>
    <w:rsid w:val="00FB3639"/>
    <w:rsid w:val="00FB77FB"/>
    <w:rsid w:val="00FC2E9F"/>
    <w:rsid w:val="00FC5593"/>
    <w:rsid w:val="00FD53C6"/>
    <w:rsid w:val="00FD6372"/>
    <w:rsid w:val="00FD6FAC"/>
    <w:rsid w:val="00FE1C00"/>
    <w:rsid w:val="00FE4888"/>
    <w:rsid w:val="00FE5594"/>
    <w:rsid w:val="00FF0DD5"/>
    <w:rsid w:val="00FF19CD"/>
    <w:rsid w:val="00FF4952"/>
    <w:rsid w:val="00FF547F"/>
    <w:rsid w:val="08CE3DED"/>
    <w:rsid w:val="0CB03385"/>
    <w:rsid w:val="12A32D1F"/>
    <w:rsid w:val="44820518"/>
    <w:rsid w:val="5174295C"/>
    <w:rsid w:val="5E8A3743"/>
    <w:rsid w:val="6BF7329D"/>
    <w:rsid w:val="74297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3EDA07-8B72-4C45-B679-D1129E24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noProof/>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paragraph" w:styleId="af0">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af1">
    <w:name w:val="一级"/>
    <w:basedOn w:val="a"/>
    <w:qFormat/>
    <w:pPr>
      <w:widowControl/>
      <w:adjustRightInd w:val="0"/>
      <w:snapToGrid w:val="0"/>
      <w:spacing w:beforeLines="100" w:afterLines="100" w:line="360" w:lineRule="auto"/>
      <w:ind w:leftChars="50" w:left="50" w:rightChars="50" w:right="50" w:firstLineChars="200" w:firstLine="200"/>
    </w:pPr>
    <w:rPr>
      <w:rFonts w:ascii="宋体" w:hAnsi="宋体" w:cs="Times New Roman"/>
      <w:b/>
      <w:kern w:val="0"/>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6">
    <w:name w:val="批注框文本 字符"/>
    <w:basedOn w:val="a0"/>
    <w:link w:val="a5"/>
    <w:uiPriority w:val="99"/>
    <w:semiHidden/>
    <w:qFormat/>
    <w:rPr>
      <w:rFonts w:ascii="Calibri" w:eastAsia="宋体" w:hAnsi="Calibri" w:cs="Calibri"/>
      <w:kern w:val="2"/>
      <w:sz w:val="18"/>
      <w:szCs w:val="18"/>
    </w:rPr>
  </w:style>
  <w:style w:type="character" w:customStyle="1" w:styleId="a4">
    <w:name w:val="批注文字 字符"/>
    <w:basedOn w:val="a0"/>
    <w:link w:val="a3"/>
    <w:uiPriority w:val="99"/>
    <w:qFormat/>
    <w:rPr>
      <w:rFonts w:ascii="Calibri" w:eastAsia="宋体" w:hAnsi="Calibri" w:cs="Calibri"/>
      <w:kern w:val="2"/>
      <w:sz w:val="21"/>
      <w:szCs w:val="21"/>
    </w:rPr>
  </w:style>
  <w:style w:type="character" w:customStyle="1" w:styleId="ac">
    <w:name w:val="批注主题 字符"/>
    <w:basedOn w:val="a4"/>
    <w:link w:val="ab"/>
    <w:uiPriority w:val="99"/>
    <w:semiHidden/>
    <w:qFormat/>
    <w:rPr>
      <w:rFonts w:ascii="Calibri" w:eastAsia="宋体" w:hAnsi="Calibri" w:cs="Calibri"/>
      <w:b/>
      <w:bCs/>
      <w:kern w:val="2"/>
      <w:sz w:val="21"/>
      <w:szCs w:val="21"/>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rFonts w:ascii="Calibri" w:hAnsi="Calibri" w:cs="Calibri"/>
      <w:kern w:val="2"/>
      <w:sz w:val="21"/>
      <w:szCs w:val="21"/>
    </w:rPr>
  </w:style>
  <w:style w:type="paragraph" w:customStyle="1" w:styleId="2">
    <w:name w:val="修订2"/>
    <w:hidden/>
    <w:uiPriority w:val="99"/>
    <w:unhideWhenUs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5FDA4-EC56-4A06-8293-EF192D06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2479</Words>
  <Characters>3422</Characters>
  <Application>Microsoft Office Word</Application>
  <DocSecurity>0</DocSecurity>
  <Lines>263</Lines>
  <Paragraphs>236</Paragraphs>
  <ScaleCrop>false</ScaleCrop>
  <Company>Microsoft</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chen xiao hui</cp:lastModifiedBy>
  <cp:revision>126</cp:revision>
  <cp:lastPrinted>2018-03-13T09:14:00Z</cp:lastPrinted>
  <dcterms:created xsi:type="dcterms:W3CDTF">2024-04-03T02:23:00Z</dcterms:created>
  <dcterms:modified xsi:type="dcterms:W3CDTF">2026-04-27T02:11:00Z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C6218EDE6ACE4EF989741C4E39A2650F_13</vt:lpwstr>
  </property>
  <property fmtid="{D5CDD505-2E9C-101B-9397-08002B2CF9AE}" pid="4" name="KSOTemplateDocerSaveRecord">
    <vt:lpwstr>eyJoZGlkIjoiMDZkODQ3MDFjNzdkYjgwNWRlZDRmZjE4YzYxYzY0M2IiLCJ1c2VySWQiOiIzMjkyMzYyMzEifQ==</vt:lpwstr>
  </property>
</Properties>
</file>