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8E0A" w14:textId="77777777" w:rsidR="00A7510C" w:rsidRDefault="00F974FA">
      <w:pPr>
        <w:spacing w:after="100" w:line="300" w:lineRule="exact"/>
        <w:rPr>
          <w:rFonts w:ascii="宋体" w:eastAsia="宋体" w:hAnsi="宋体" w:cs="宋体" w:hint="eastAsia"/>
          <w:sz w:val="24"/>
        </w:rPr>
      </w:pPr>
      <w:r>
        <w:rPr>
          <w:rFonts w:ascii="宋体" w:eastAsia="宋体" w:hAnsi="宋体" w:cs="宋体"/>
          <w:sz w:val="24"/>
        </w:rPr>
        <w:t>证券代码：002849                  证券简称：威星智能        公告编号</w:t>
      </w:r>
      <w:r>
        <w:rPr>
          <w:rFonts w:ascii="宋体" w:eastAsia="宋体" w:hAnsi="宋体" w:cs="宋体" w:hint="eastAsia"/>
          <w:sz w:val="24"/>
        </w:rPr>
        <w:t>：</w:t>
      </w:r>
      <w:r>
        <w:rPr>
          <w:rFonts w:ascii="宋体" w:eastAsia="宋体" w:hAnsi="宋体" w:cs="宋体"/>
          <w:sz w:val="24"/>
        </w:rPr>
        <w:t>2026-022</w:t>
      </w:r>
    </w:p>
    <w:p w14:paraId="62B8D5FF" w14:textId="77777777" w:rsidR="00A7510C" w:rsidRDefault="00A7510C">
      <w:pPr>
        <w:spacing w:after="0" w:line="360" w:lineRule="auto"/>
        <w:ind w:firstLineChars="200" w:firstLine="602"/>
        <w:jc w:val="center"/>
        <w:rPr>
          <w:rFonts w:ascii="宋体" w:eastAsia="宋体" w:hAnsi="宋体" w:cs="宋体" w:hint="eastAsia"/>
          <w:b/>
          <w:bCs/>
          <w:sz w:val="30"/>
          <w:szCs w:val="30"/>
        </w:rPr>
      </w:pPr>
    </w:p>
    <w:p w14:paraId="67F67299" w14:textId="77777777" w:rsidR="00A7510C" w:rsidRDefault="00F974FA">
      <w:pPr>
        <w:spacing w:after="0" w:line="360" w:lineRule="auto"/>
        <w:ind w:firstLineChars="200" w:firstLine="602"/>
        <w:jc w:val="center"/>
        <w:rPr>
          <w:rFonts w:ascii="宋体" w:eastAsia="宋体" w:hAnsi="宋体" w:cs="宋体" w:hint="eastAsia"/>
          <w:b/>
          <w:bCs/>
          <w:sz w:val="30"/>
          <w:szCs w:val="30"/>
        </w:rPr>
      </w:pPr>
      <w:r>
        <w:rPr>
          <w:rFonts w:ascii="宋体" w:eastAsia="宋体" w:hAnsi="宋体" w:cs="宋体"/>
          <w:b/>
          <w:bCs/>
          <w:sz w:val="30"/>
          <w:szCs w:val="30"/>
        </w:rPr>
        <w:t>浙江威星智能仪表股份有限公司</w:t>
      </w:r>
    </w:p>
    <w:p w14:paraId="7497450D" w14:textId="77777777" w:rsidR="00A7510C" w:rsidRDefault="00F974FA">
      <w:pPr>
        <w:spacing w:after="0" w:line="360" w:lineRule="auto"/>
        <w:ind w:firstLineChars="200" w:firstLine="602"/>
        <w:jc w:val="center"/>
        <w:rPr>
          <w:rFonts w:ascii="宋体" w:eastAsia="宋体" w:hAnsi="宋体" w:cs="宋体" w:hint="eastAsia"/>
          <w:b/>
          <w:bCs/>
          <w:sz w:val="30"/>
          <w:szCs w:val="30"/>
        </w:rPr>
      </w:pPr>
      <w:r>
        <w:rPr>
          <w:rFonts w:ascii="宋体" w:eastAsia="宋体" w:hAnsi="宋体" w:cs="宋体"/>
          <w:b/>
          <w:bCs/>
          <w:sz w:val="30"/>
          <w:szCs w:val="30"/>
        </w:rPr>
        <w:t>关于公司2025年度</w:t>
      </w:r>
      <w:bookmarkStart w:id="0" w:name="OLE_LINK1"/>
      <w:r>
        <w:rPr>
          <w:rFonts w:ascii="宋体" w:eastAsia="宋体" w:hAnsi="宋体" w:cs="宋体"/>
          <w:b/>
          <w:bCs/>
          <w:sz w:val="30"/>
          <w:szCs w:val="30"/>
        </w:rPr>
        <w:t>利润分配预案</w:t>
      </w:r>
      <w:bookmarkEnd w:id="0"/>
      <w:r>
        <w:rPr>
          <w:rFonts w:ascii="宋体" w:eastAsia="宋体" w:hAnsi="宋体" w:cs="宋体"/>
          <w:b/>
          <w:bCs/>
          <w:sz w:val="30"/>
          <w:szCs w:val="30"/>
        </w:rPr>
        <w:t>的公告</w:t>
      </w:r>
    </w:p>
    <w:p w14:paraId="6A40EC05" w14:textId="77777777" w:rsidR="00A7510C" w:rsidRDefault="00A7510C">
      <w:pPr>
        <w:spacing w:after="0" w:line="360" w:lineRule="auto"/>
        <w:ind w:firstLineChars="200" w:firstLine="602"/>
        <w:jc w:val="center"/>
        <w:rPr>
          <w:rFonts w:ascii="宋体" w:eastAsia="宋体" w:hAnsi="宋体" w:cs="宋体" w:hint="eastAsia"/>
          <w:b/>
          <w:bCs/>
          <w:sz w:val="30"/>
          <w:szCs w:val="30"/>
        </w:rPr>
      </w:pPr>
    </w:p>
    <w:p w14:paraId="57AB7606" w14:textId="77777777" w:rsidR="00A7510C" w:rsidRDefault="00F974FA">
      <w:pPr>
        <w:widowControl/>
        <w:pBdr>
          <w:top w:val="single" w:sz="4" w:space="1" w:color="auto"/>
          <w:left w:val="single" w:sz="4" w:space="4" w:color="auto"/>
          <w:bottom w:val="single" w:sz="4" w:space="1" w:color="auto"/>
          <w:right w:val="single" w:sz="4" w:space="0" w:color="auto"/>
        </w:pBdr>
        <w:spacing w:after="0" w:line="360" w:lineRule="auto"/>
        <w:ind w:firstLineChars="200" w:firstLine="482"/>
        <w:jc w:val="both"/>
        <w:rPr>
          <w:rFonts w:ascii="宋体" w:eastAsia="宋体" w:hAnsi="宋体" w:cs="宋体" w:hint="eastAsia"/>
          <w:b/>
          <w:kern w:val="0"/>
          <w:sz w:val="24"/>
          <w14:ligatures w14:val="none"/>
        </w:rPr>
      </w:pPr>
      <w:r>
        <w:rPr>
          <w:rFonts w:ascii="宋体" w:eastAsia="宋体" w:hAnsi="宋体" w:cs="宋体" w:hint="eastAsia"/>
          <w:b/>
          <w:kern w:val="0"/>
          <w:sz w:val="24"/>
          <w14:ligatures w14:val="none"/>
        </w:rPr>
        <w:t>本公司及董事会全体成员保证信息披露的内容真实、准确、完整，没有虚假记载、误导性陈述或重大遗漏。</w:t>
      </w:r>
    </w:p>
    <w:p w14:paraId="67DBA7D5" w14:textId="598A0C26" w:rsidR="00A7510C" w:rsidRPr="00A751DA" w:rsidRDefault="00A751DA" w:rsidP="00A751DA">
      <w:pPr>
        <w:pStyle w:val="a7"/>
        <w:spacing w:before="0" w:beforeAutospacing="0" w:after="0" w:afterAutospacing="0" w:line="360" w:lineRule="auto"/>
        <w:ind w:firstLineChars="200" w:firstLine="482"/>
        <w:jc w:val="both"/>
        <w:rPr>
          <w:rFonts w:cs="Times New Roman" w:hint="eastAsia"/>
          <w:b/>
          <w:bCs/>
        </w:rPr>
      </w:pPr>
      <w:bookmarkStart w:id="1" w:name="_Toc988889"/>
      <w:r w:rsidRPr="00A751DA">
        <w:rPr>
          <w:rFonts w:cs="Times New Roman" w:hint="eastAsia"/>
          <w:b/>
          <w:bCs/>
        </w:rPr>
        <w:t>一、</w:t>
      </w:r>
      <w:r w:rsidR="00F974FA" w:rsidRPr="00A751DA">
        <w:rPr>
          <w:rFonts w:cs="Times New Roman"/>
          <w:b/>
          <w:bCs/>
        </w:rPr>
        <w:t>审议程序</w:t>
      </w:r>
      <w:bookmarkEnd w:id="1"/>
    </w:p>
    <w:p w14:paraId="70C2868B" w14:textId="77777777" w:rsidR="00A7510C" w:rsidRPr="00A751DA" w:rsidRDefault="00F974FA" w:rsidP="00A751DA">
      <w:pPr>
        <w:pStyle w:val="a7"/>
        <w:spacing w:before="0" w:beforeAutospacing="0" w:after="0" w:afterAutospacing="0" w:line="360" w:lineRule="auto"/>
        <w:ind w:firstLineChars="200" w:firstLine="480"/>
        <w:jc w:val="both"/>
        <w:rPr>
          <w:rFonts w:cs="Times New Roman" w:hint="eastAsia"/>
        </w:rPr>
      </w:pPr>
      <w:r>
        <w:rPr>
          <w:rFonts w:cs="Times New Roman" w:hint="eastAsia"/>
        </w:rPr>
        <w:t>2026年4月24日，浙江威星智能仪表股份有限公司(以下简称“公司”或“威星智能”)第六届董事会第六次会议，以7票同意，0票反对、0票弃权的表决结果，审议通过了《公司2025年度利润分配预案》。</w:t>
      </w:r>
    </w:p>
    <w:p w14:paraId="71B07F79" w14:textId="77777777" w:rsidR="00A7510C" w:rsidRDefault="00F974FA">
      <w:pPr>
        <w:pStyle w:val="a7"/>
        <w:spacing w:before="0" w:beforeAutospacing="0" w:after="0" w:afterAutospacing="0" w:line="360" w:lineRule="auto"/>
        <w:ind w:firstLineChars="200" w:firstLine="480"/>
        <w:jc w:val="both"/>
        <w:rPr>
          <w:rFonts w:cs="Times New Roman" w:hint="eastAsia"/>
        </w:rPr>
      </w:pPr>
      <w:r>
        <w:rPr>
          <w:rFonts w:cs="Times New Roman" w:hint="eastAsia"/>
        </w:rPr>
        <w:t>本次利润分配预案，尚需提交公司2025年年度股东会审议。</w:t>
      </w:r>
    </w:p>
    <w:p w14:paraId="1B174443" w14:textId="77777777" w:rsidR="00A7510C" w:rsidRPr="00A751DA" w:rsidRDefault="00F974FA" w:rsidP="00A751DA">
      <w:pPr>
        <w:pStyle w:val="a7"/>
        <w:spacing w:before="0" w:beforeAutospacing="0" w:after="0" w:afterAutospacing="0" w:line="360" w:lineRule="auto"/>
        <w:ind w:firstLineChars="200" w:firstLine="482"/>
        <w:jc w:val="both"/>
        <w:rPr>
          <w:rFonts w:cs="Times New Roman" w:hint="eastAsia"/>
          <w:b/>
          <w:bCs/>
        </w:rPr>
      </w:pPr>
      <w:bookmarkStart w:id="2" w:name="_Toc988890"/>
      <w:r w:rsidRPr="00A751DA">
        <w:rPr>
          <w:rFonts w:cs="Times New Roman"/>
          <w:b/>
          <w:bCs/>
        </w:rPr>
        <w:t>二、利润分配方案的基本情况</w:t>
      </w:r>
      <w:bookmarkEnd w:id="2"/>
    </w:p>
    <w:p w14:paraId="66A28931" w14:textId="77777777" w:rsidR="00A7510C" w:rsidRDefault="00F974FA">
      <w:pPr>
        <w:pStyle w:val="a7"/>
        <w:spacing w:before="0" w:beforeAutospacing="0" w:after="0" w:afterAutospacing="0" w:line="360" w:lineRule="auto"/>
        <w:ind w:firstLineChars="200" w:firstLine="480"/>
        <w:jc w:val="both"/>
        <w:rPr>
          <w:rFonts w:cs="Times New Roman" w:hint="eastAsia"/>
        </w:rPr>
      </w:pPr>
      <w:r>
        <w:rPr>
          <w:rFonts w:cs="Times New Roman" w:hint="eastAsia"/>
        </w:rPr>
        <w:t>（一）分配基准：2025年度</w:t>
      </w:r>
    </w:p>
    <w:p w14:paraId="04760840" w14:textId="2FA207F6" w:rsidR="00A7510C" w:rsidRDefault="00F974FA" w:rsidP="00072FD4">
      <w:pPr>
        <w:pStyle w:val="a7"/>
        <w:spacing w:before="0" w:beforeAutospacing="0" w:after="0" w:afterAutospacing="0" w:line="360" w:lineRule="auto"/>
        <w:ind w:firstLineChars="200" w:firstLine="480"/>
        <w:jc w:val="both"/>
        <w:rPr>
          <w:rFonts w:cs="Times New Roman" w:hint="eastAsia"/>
        </w:rPr>
      </w:pPr>
      <w:r>
        <w:rPr>
          <w:rFonts w:cs="Times New Roman" w:hint="eastAsia"/>
        </w:rPr>
        <w:t>（二）经天健会计师事务所（特殊普通合伙）审计确认，威星智能2025年度合并报表中归属于上市公司股东的净利润为</w:t>
      </w:r>
      <w:bookmarkStart w:id="3" w:name="OLE_LINK8"/>
      <w:r>
        <w:rPr>
          <w:rFonts w:cs="Times New Roman" w:hint="eastAsia"/>
          <w:shd w:val="clear" w:color="auto" w:fill="FFFFFF" w:themeFill="background1"/>
        </w:rPr>
        <w:t>53,950,487.90</w:t>
      </w:r>
      <w:bookmarkEnd w:id="3"/>
      <w:r>
        <w:rPr>
          <w:rFonts w:cs="Times New Roman" w:hint="eastAsia"/>
        </w:rPr>
        <w:t xml:space="preserve">元，母公司实现净利润为 </w:t>
      </w:r>
      <w:bookmarkStart w:id="4" w:name="OLE_LINK9"/>
      <w:r>
        <w:rPr>
          <w:rFonts w:cs="Times New Roman" w:hint="eastAsia"/>
        </w:rPr>
        <w:t>62,881,362.35</w:t>
      </w:r>
      <w:bookmarkEnd w:id="4"/>
      <w:r>
        <w:rPr>
          <w:rFonts w:cs="Times New Roman" w:hint="eastAsia"/>
        </w:rPr>
        <w:t xml:space="preserve"> 元。</w:t>
      </w:r>
    </w:p>
    <w:p w14:paraId="3F2744DC" w14:textId="77777777" w:rsidR="00A7510C" w:rsidRDefault="00F974FA">
      <w:pPr>
        <w:pStyle w:val="a7"/>
        <w:spacing w:before="0" w:beforeAutospacing="0" w:after="0" w:afterAutospacing="0" w:line="360" w:lineRule="auto"/>
        <w:ind w:firstLineChars="200" w:firstLine="480"/>
        <w:jc w:val="both"/>
        <w:rPr>
          <w:rFonts w:hint="eastAsia"/>
        </w:rPr>
      </w:pPr>
      <w:r>
        <w:rPr>
          <w:rFonts w:hint="eastAsia"/>
        </w:rPr>
        <w:t>（三）根据《公司法》和《公司章程》的相关规定，按照母公司实现的净利润10%计提法定盈余公积6,288,136.24元,加上年初未分配利润</w:t>
      </w:r>
      <w:bookmarkStart w:id="5" w:name="OLE_LINK10"/>
      <w:r>
        <w:rPr>
          <w:rFonts w:hint="eastAsia"/>
        </w:rPr>
        <w:t>450,410,900.13</w:t>
      </w:r>
      <w:bookmarkEnd w:id="5"/>
      <w:r>
        <w:rPr>
          <w:rFonts w:hint="eastAsia"/>
        </w:rPr>
        <w:t>元，扣除2025年派发的现金股利8,825,360.64元，本年度累计可供股东分配的利润为498,178,765.60元。</w:t>
      </w:r>
    </w:p>
    <w:p w14:paraId="60897BF2" w14:textId="77777777" w:rsidR="00A7510C" w:rsidRDefault="00F974FA">
      <w:pPr>
        <w:pStyle w:val="a7"/>
        <w:spacing w:before="0" w:beforeAutospacing="0" w:after="0" w:afterAutospacing="0" w:line="360" w:lineRule="auto"/>
        <w:ind w:firstLineChars="200" w:firstLine="480"/>
        <w:jc w:val="both"/>
        <w:rPr>
          <w:rFonts w:hint="eastAsia"/>
        </w:rPr>
      </w:pPr>
      <w:r>
        <w:rPr>
          <w:rFonts w:hint="eastAsia"/>
        </w:rPr>
        <w:t>截至2025年12月31日，合并报表未分配利润余额为</w:t>
      </w:r>
      <w:bookmarkStart w:id="6" w:name="OLE_LINK11"/>
      <w:r>
        <w:rPr>
          <w:rFonts w:hint="eastAsia"/>
        </w:rPr>
        <w:t>515,191,843.23</w:t>
      </w:r>
      <w:bookmarkEnd w:id="6"/>
      <w:r>
        <w:rPr>
          <w:rFonts w:hint="eastAsia"/>
        </w:rPr>
        <w:t>元，母公司未分配利润余额为498,178,765.60元。根据利润分配应以母公司的可供分配利润及合并财务报表的可供分配利润孰低的原则，公司2025年度可供股东分配的利润为498,178,765.60元。</w:t>
      </w:r>
    </w:p>
    <w:p w14:paraId="1564CC75" w14:textId="77777777" w:rsidR="00A7510C" w:rsidRDefault="00F974FA">
      <w:pPr>
        <w:pStyle w:val="a7"/>
        <w:spacing w:before="0" w:beforeAutospacing="0" w:after="0" w:afterAutospacing="0" w:line="360" w:lineRule="auto"/>
        <w:ind w:firstLineChars="200" w:firstLine="480"/>
        <w:jc w:val="both"/>
        <w:rPr>
          <w:rFonts w:cs="Times New Roman" w:hint="eastAsia"/>
        </w:rPr>
      </w:pPr>
      <w:r>
        <w:rPr>
          <w:rFonts w:cs="Times New Roman" w:hint="eastAsia"/>
        </w:rPr>
        <w:t>(四) 为了更好的回报股东，在兼顾公司未来业务发展及生产经营的资金需求的前提下，公司拟定的2025年度利润分配预案为：公司拟以现有总股本220,634,016股为基数，向全体股东每10股派发现金股利0.4元（含税），共计派发现金8,825,360.64元（含税），本次分配不实施资本公积转增股本、不分红股，剩余未分配利润留待后续分配。</w:t>
      </w:r>
    </w:p>
    <w:p w14:paraId="57045A4D" w14:textId="77777777" w:rsidR="00A7510C" w:rsidRDefault="00F974FA">
      <w:pPr>
        <w:pStyle w:val="a7"/>
        <w:spacing w:before="0" w:beforeAutospacing="0" w:after="0" w:afterAutospacing="0" w:line="360" w:lineRule="auto"/>
        <w:ind w:firstLineChars="200" w:firstLine="480"/>
        <w:jc w:val="both"/>
        <w:rPr>
          <w:rFonts w:cs="Times New Roman" w:hint="eastAsia"/>
        </w:rPr>
      </w:pPr>
      <w:r>
        <w:rPr>
          <w:rFonts w:cs="Times New Roman" w:hint="eastAsia"/>
        </w:rPr>
        <w:lastRenderedPageBreak/>
        <w:t>（五）若公司利润分配方案公布后至实施该方案的股权登记日前，公司的总股本发生变动，将按照分配总额不变原则调整分配比例。</w:t>
      </w:r>
    </w:p>
    <w:p w14:paraId="5D0925D8" w14:textId="77777777" w:rsidR="00A7510C" w:rsidRPr="00A751DA" w:rsidRDefault="00F974FA" w:rsidP="00A751DA">
      <w:pPr>
        <w:pStyle w:val="a7"/>
        <w:spacing w:before="0" w:beforeAutospacing="0" w:after="0" w:afterAutospacing="0" w:line="360" w:lineRule="auto"/>
        <w:ind w:firstLineChars="200" w:firstLine="482"/>
        <w:jc w:val="both"/>
        <w:rPr>
          <w:rFonts w:cs="Times New Roman" w:hint="eastAsia"/>
          <w:b/>
          <w:bCs/>
        </w:rPr>
      </w:pPr>
      <w:bookmarkStart w:id="7" w:name="_Toc988891"/>
      <w:r w:rsidRPr="00A751DA">
        <w:rPr>
          <w:rFonts w:cs="Times New Roman"/>
          <w:b/>
          <w:bCs/>
        </w:rPr>
        <w:t>三、现金分红方案的具体情况</w:t>
      </w:r>
      <w:bookmarkEnd w:id="7"/>
    </w:p>
    <w:p w14:paraId="42FDC28F" w14:textId="77777777" w:rsidR="00A7510C" w:rsidRPr="00A751DA" w:rsidRDefault="00F974FA" w:rsidP="00A751DA">
      <w:pPr>
        <w:pStyle w:val="a7"/>
        <w:spacing w:before="0" w:beforeAutospacing="0" w:after="0" w:afterAutospacing="0" w:line="360" w:lineRule="auto"/>
        <w:ind w:firstLineChars="200" w:firstLine="482"/>
        <w:jc w:val="both"/>
        <w:rPr>
          <w:rFonts w:cs="Times New Roman" w:hint="eastAsia"/>
          <w:b/>
          <w:bCs/>
        </w:rPr>
      </w:pPr>
      <w:bookmarkStart w:id="8" w:name="_Toc988892"/>
      <w:r w:rsidRPr="00A751DA">
        <w:rPr>
          <w:rFonts w:cs="Times New Roman"/>
          <w:b/>
          <w:bCs/>
        </w:rPr>
        <w:t>（一）</w:t>
      </w:r>
      <w:bookmarkEnd w:id="8"/>
      <w:r w:rsidRPr="00A751DA">
        <w:rPr>
          <w:rFonts w:cs="Times New Roman" w:hint="eastAsia"/>
          <w:b/>
          <w:bCs/>
        </w:rPr>
        <w:t>现金分红方案不触及其他风险警示情形</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7510C" w14:paraId="1BD7CA9D" w14:textId="77777777">
        <w:trPr>
          <w:trHeight w:val="40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C1DC1CA" w14:textId="77777777" w:rsidR="00A7510C" w:rsidRDefault="00F974FA">
            <w:pPr>
              <w:spacing w:after="0" w:line="400" w:lineRule="exact"/>
              <w:jc w:val="center"/>
              <w:rPr>
                <w:rFonts w:ascii="宋体" w:eastAsia="宋体" w:hAnsi="宋体" w:cs="宋体" w:hint="eastAsia"/>
                <w:sz w:val="21"/>
                <w:szCs w:val="21"/>
              </w:rPr>
            </w:pPr>
            <w:bookmarkStart w:id="9" w:name="_Toc988893"/>
            <w:r>
              <w:rPr>
                <w:rFonts w:ascii="宋体" w:eastAsia="宋体" w:hAnsi="宋体" w:cs="宋体"/>
                <w:sz w:val="21"/>
                <w:szCs w:val="21"/>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CA0340E" w14:textId="77777777" w:rsidR="00A7510C" w:rsidRDefault="00F974FA">
            <w:pPr>
              <w:spacing w:after="0" w:line="400" w:lineRule="exact"/>
              <w:jc w:val="center"/>
              <w:rPr>
                <w:rFonts w:ascii="宋体" w:eastAsia="宋体" w:hAnsi="宋体" w:cs="宋体" w:hint="eastAsia"/>
                <w:sz w:val="21"/>
                <w:szCs w:val="21"/>
              </w:rPr>
            </w:pPr>
            <w:r>
              <w:rPr>
                <w:rFonts w:ascii="宋体" w:eastAsia="宋体" w:hAnsi="宋体" w:cs="宋体"/>
                <w:sz w:val="21"/>
                <w:szCs w:val="21"/>
              </w:rPr>
              <w:t>本年度</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8F9D679" w14:textId="77777777" w:rsidR="00A7510C" w:rsidRDefault="00F974FA">
            <w:pPr>
              <w:spacing w:after="0" w:line="400" w:lineRule="exact"/>
              <w:jc w:val="center"/>
              <w:rPr>
                <w:rFonts w:ascii="宋体" w:eastAsia="宋体" w:hAnsi="宋体" w:cs="宋体" w:hint="eastAsia"/>
                <w:sz w:val="21"/>
                <w:szCs w:val="21"/>
              </w:rPr>
            </w:pPr>
            <w:r>
              <w:rPr>
                <w:rFonts w:ascii="宋体" w:eastAsia="宋体" w:hAnsi="宋体" w:cs="宋体"/>
                <w:sz w:val="21"/>
                <w:szCs w:val="21"/>
              </w:rPr>
              <w:t>上年度</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3A5D48B" w14:textId="77777777" w:rsidR="00A7510C" w:rsidRDefault="00F974FA">
            <w:pPr>
              <w:spacing w:after="0" w:line="400" w:lineRule="exact"/>
              <w:jc w:val="center"/>
              <w:rPr>
                <w:rFonts w:ascii="宋体" w:eastAsia="宋体" w:hAnsi="宋体" w:cs="宋体" w:hint="eastAsia"/>
                <w:sz w:val="21"/>
                <w:szCs w:val="21"/>
              </w:rPr>
            </w:pPr>
            <w:r>
              <w:rPr>
                <w:rFonts w:ascii="宋体" w:eastAsia="宋体" w:hAnsi="宋体" w:cs="宋体"/>
                <w:sz w:val="21"/>
                <w:szCs w:val="21"/>
              </w:rPr>
              <w:t>上上年度</w:t>
            </w:r>
          </w:p>
        </w:tc>
      </w:tr>
      <w:tr w:rsidR="00A7510C" w14:paraId="38E3E44F" w14:textId="77777777">
        <w:trPr>
          <w:trHeight w:val="40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084B503" w14:textId="77777777" w:rsidR="00A7510C" w:rsidRDefault="00F974FA">
            <w:pPr>
              <w:spacing w:after="0" w:line="400" w:lineRule="exact"/>
              <w:rPr>
                <w:rFonts w:ascii="宋体" w:eastAsia="宋体" w:hAnsi="宋体" w:cs="宋体" w:hint="eastAsia"/>
                <w:sz w:val="21"/>
                <w:szCs w:val="21"/>
              </w:rPr>
            </w:pPr>
            <w:r>
              <w:rPr>
                <w:rFonts w:ascii="宋体" w:eastAsia="宋体" w:hAnsi="宋体" w:cs="宋体"/>
                <w:sz w:val="21"/>
                <w:szCs w:val="21"/>
              </w:rPr>
              <w:t>现金分红总额（元）</w:t>
            </w:r>
          </w:p>
        </w:tc>
        <w:tc>
          <w:tcPr>
            <w:tcW w:w="2410" w:type="dxa"/>
            <w:tcBorders>
              <w:top w:val="single" w:sz="2" w:space="0" w:color="auto"/>
              <w:left w:val="single" w:sz="2" w:space="0" w:color="auto"/>
              <w:bottom w:val="single" w:sz="2" w:space="0" w:color="auto"/>
              <w:right w:val="single" w:sz="2" w:space="0" w:color="auto"/>
            </w:tcBorders>
            <w:vAlign w:val="center"/>
          </w:tcPr>
          <w:p w14:paraId="3E2114F9" w14:textId="7777777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sz w:val="21"/>
                <w:szCs w:val="21"/>
              </w:rPr>
              <w:t>8,825,360.64</w:t>
            </w:r>
          </w:p>
        </w:tc>
        <w:tc>
          <w:tcPr>
            <w:tcW w:w="2410" w:type="dxa"/>
            <w:tcBorders>
              <w:top w:val="single" w:sz="2" w:space="0" w:color="auto"/>
              <w:left w:val="single" w:sz="2" w:space="0" w:color="auto"/>
              <w:bottom w:val="single" w:sz="2" w:space="0" w:color="auto"/>
              <w:right w:val="single" w:sz="2" w:space="0" w:color="auto"/>
            </w:tcBorders>
            <w:vAlign w:val="center"/>
          </w:tcPr>
          <w:p w14:paraId="162E68FB" w14:textId="7777777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sz w:val="21"/>
                <w:szCs w:val="21"/>
              </w:rPr>
              <w:t>8,825,360.64</w:t>
            </w:r>
          </w:p>
        </w:tc>
        <w:tc>
          <w:tcPr>
            <w:tcW w:w="2410" w:type="dxa"/>
            <w:tcBorders>
              <w:top w:val="single" w:sz="2" w:space="0" w:color="auto"/>
              <w:left w:val="single" w:sz="2" w:space="0" w:color="auto"/>
              <w:bottom w:val="single" w:sz="2" w:space="0" w:color="auto"/>
              <w:right w:val="single" w:sz="2" w:space="0" w:color="auto"/>
            </w:tcBorders>
            <w:vAlign w:val="center"/>
          </w:tcPr>
          <w:p w14:paraId="0D7E1477" w14:textId="7777777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sz w:val="21"/>
                <w:szCs w:val="21"/>
              </w:rPr>
              <w:t>8,825,360.64</w:t>
            </w:r>
          </w:p>
        </w:tc>
      </w:tr>
      <w:tr w:rsidR="00A7510C" w14:paraId="006FB81B" w14:textId="77777777">
        <w:trPr>
          <w:trHeight w:val="40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9BA84B1" w14:textId="77777777" w:rsidR="00A7510C" w:rsidRDefault="00F974FA">
            <w:pPr>
              <w:spacing w:after="0" w:line="400" w:lineRule="exact"/>
              <w:rPr>
                <w:rFonts w:ascii="宋体" w:eastAsia="宋体" w:hAnsi="宋体" w:cs="宋体" w:hint="eastAsia"/>
                <w:sz w:val="21"/>
                <w:szCs w:val="21"/>
              </w:rPr>
            </w:pPr>
            <w:r>
              <w:rPr>
                <w:rFonts w:ascii="宋体" w:eastAsia="宋体" w:hAnsi="宋体" w:cs="宋体"/>
                <w:sz w:val="21"/>
                <w:szCs w:val="21"/>
              </w:rPr>
              <w:t>回购注销总额（元）</w:t>
            </w:r>
          </w:p>
        </w:tc>
        <w:tc>
          <w:tcPr>
            <w:tcW w:w="2410" w:type="dxa"/>
            <w:tcBorders>
              <w:top w:val="single" w:sz="2" w:space="0" w:color="auto"/>
              <w:left w:val="single" w:sz="2" w:space="0" w:color="auto"/>
              <w:bottom w:val="single" w:sz="2" w:space="0" w:color="auto"/>
              <w:right w:val="single" w:sz="2" w:space="0" w:color="auto"/>
            </w:tcBorders>
            <w:vAlign w:val="center"/>
          </w:tcPr>
          <w:p w14:paraId="2381338C" w14:textId="7777777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sz w:val="21"/>
                <w:szCs w:val="21"/>
              </w:rPr>
              <w:t>0</w:t>
            </w:r>
          </w:p>
        </w:tc>
        <w:tc>
          <w:tcPr>
            <w:tcW w:w="2410" w:type="dxa"/>
            <w:tcBorders>
              <w:top w:val="single" w:sz="2" w:space="0" w:color="auto"/>
              <w:left w:val="single" w:sz="2" w:space="0" w:color="auto"/>
              <w:bottom w:val="single" w:sz="2" w:space="0" w:color="auto"/>
              <w:right w:val="single" w:sz="2" w:space="0" w:color="auto"/>
            </w:tcBorders>
            <w:vAlign w:val="center"/>
          </w:tcPr>
          <w:p w14:paraId="2EA35302" w14:textId="7777777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sz w:val="21"/>
                <w:szCs w:val="21"/>
              </w:rPr>
              <w:t>0</w:t>
            </w:r>
          </w:p>
        </w:tc>
        <w:tc>
          <w:tcPr>
            <w:tcW w:w="2410" w:type="dxa"/>
            <w:tcBorders>
              <w:top w:val="single" w:sz="2" w:space="0" w:color="auto"/>
              <w:left w:val="single" w:sz="2" w:space="0" w:color="auto"/>
              <w:bottom w:val="single" w:sz="2" w:space="0" w:color="auto"/>
              <w:right w:val="single" w:sz="2" w:space="0" w:color="auto"/>
            </w:tcBorders>
            <w:vAlign w:val="center"/>
          </w:tcPr>
          <w:p w14:paraId="4AB442B3" w14:textId="7777777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sz w:val="21"/>
                <w:szCs w:val="21"/>
              </w:rPr>
              <w:t>0</w:t>
            </w:r>
          </w:p>
        </w:tc>
      </w:tr>
      <w:tr w:rsidR="00A7510C" w14:paraId="001DDE6F" w14:textId="77777777">
        <w:trPr>
          <w:trHeight w:val="40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8F68693" w14:textId="77777777" w:rsidR="00A7510C" w:rsidRDefault="00F974FA">
            <w:pPr>
              <w:spacing w:after="0" w:line="400" w:lineRule="exact"/>
              <w:rPr>
                <w:rFonts w:ascii="宋体" w:eastAsia="宋体" w:hAnsi="宋体" w:cs="宋体" w:hint="eastAsia"/>
                <w:sz w:val="21"/>
                <w:szCs w:val="21"/>
              </w:rPr>
            </w:pPr>
            <w:bookmarkStart w:id="10" w:name="_Hlk228102465"/>
            <w:r>
              <w:rPr>
                <w:rFonts w:ascii="宋体" w:eastAsia="宋体" w:hAnsi="宋体" w:cs="宋体"/>
                <w:sz w:val="21"/>
                <w:szCs w:val="21"/>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14:paraId="04959A09" w14:textId="77777777" w:rsidR="00A7510C" w:rsidRDefault="00F974FA">
            <w:pPr>
              <w:spacing w:after="0" w:line="400" w:lineRule="exact"/>
              <w:jc w:val="right"/>
              <w:rPr>
                <w:rFonts w:ascii="宋体" w:eastAsia="宋体" w:hAnsi="宋体" w:cs="宋体" w:hint="eastAsia"/>
                <w:sz w:val="21"/>
                <w:szCs w:val="21"/>
              </w:rPr>
            </w:pPr>
            <w:bookmarkStart w:id="11" w:name="OLE_LINK12"/>
            <w:r>
              <w:rPr>
                <w:rFonts w:ascii="宋体" w:eastAsia="宋体" w:hAnsi="宋体" w:cs="宋体" w:hint="eastAsia"/>
                <w:sz w:val="21"/>
                <w:szCs w:val="21"/>
              </w:rPr>
              <w:t>53,950,487.90</w:t>
            </w:r>
            <w:bookmarkEnd w:id="11"/>
          </w:p>
        </w:tc>
        <w:tc>
          <w:tcPr>
            <w:tcW w:w="2410" w:type="dxa"/>
            <w:tcBorders>
              <w:top w:val="single" w:sz="2" w:space="0" w:color="auto"/>
              <w:left w:val="single" w:sz="2" w:space="0" w:color="auto"/>
              <w:bottom w:val="single" w:sz="2" w:space="0" w:color="auto"/>
              <w:right w:val="single" w:sz="2" w:space="0" w:color="auto"/>
            </w:tcBorders>
            <w:vAlign w:val="center"/>
          </w:tcPr>
          <w:p w14:paraId="7A430808" w14:textId="7777777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sz w:val="21"/>
                <w:szCs w:val="21"/>
              </w:rPr>
              <w:t>33,632,662.73</w:t>
            </w:r>
          </w:p>
        </w:tc>
        <w:tc>
          <w:tcPr>
            <w:tcW w:w="2410" w:type="dxa"/>
            <w:tcBorders>
              <w:top w:val="single" w:sz="2" w:space="0" w:color="auto"/>
              <w:left w:val="single" w:sz="2" w:space="0" w:color="auto"/>
              <w:bottom w:val="single" w:sz="2" w:space="0" w:color="auto"/>
              <w:right w:val="single" w:sz="2" w:space="0" w:color="auto"/>
            </w:tcBorders>
            <w:vAlign w:val="center"/>
          </w:tcPr>
          <w:p w14:paraId="78982705" w14:textId="7777777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sz w:val="21"/>
                <w:szCs w:val="21"/>
              </w:rPr>
              <w:t>33,961,121.46</w:t>
            </w:r>
          </w:p>
        </w:tc>
      </w:tr>
      <w:bookmarkEnd w:id="10"/>
      <w:tr w:rsidR="00A7510C" w14:paraId="6BAF90E4" w14:textId="77777777">
        <w:trPr>
          <w:trHeight w:val="40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4EB064B" w14:textId="77777777" w:rsidR="00A7510C" w:rsidRDefault="00F974FA">
            <w:pPr>
              <w:spacing w:after="0" w:line="400" w:lineRule="exact"/>
              <w:rPr>
                <w:rFonts w:ascii="宋体" w:eastAsia="宋体" w:hAnsi="宋体" w:cs="宋体" w:hint="eastAsia"/>
                <w:sz w:val="21"/>
                <w:szCs w:val="21"/>
              </w:rPr>
            </w:pPr>
            <w:r>
              <w:rPr>
                <w:rFonts w:ascii="宋体" w:eastAsia="宋体" w:hAnsi="宋体" w:cs="宋体"/>
                <w:sz w:val="21"/>
                <w:szCs w:val="21"/>
              </w:rPr>
              <w:t>合并报表本年度末累计未分配利润（元）</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175D270B" w14:textId="7777777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hint="eastAsia"/>
                <w:sz w:val="21"/>
                <w:szCs w:val="21"/>
              </w:rPr>
              <w:t>515,191,843.23</w:t>
            </w:r>
          </w:p>
        </w:tc>
      </w:tr>
      <w:tr w:rsidR="00A7510C" w14:paraId="6E7DFF8A" w14:textId="77777777">
        <w:trPr>
          <w:trHeight w:val="40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9565A31" w14:textId="77777777" w:rsidR="00A7510C" w:rsidRDefault="00F974FA">
            <w:pPr>
              <w:spacing w:after="0" w:line="400" w:lineRule="exact"/>
              <w:rPr>
                <w:rFonts w:ascii="宋体" w:eastAsia="宋体" w:hAnsi="宋体" w:cs="宋体" w:hint="eastAsia"/>
                <w:sz w:val="21"/>
                <w:szCs w:val="21"/>
              </w:rPr>
            </w:pPr>
            <w:r>
              <w:rPr>
                <w:rFonts w:ascii="宋体" w:eastAsia="宋体" w:hAnsi="宋体" w:cs="宋体"/>
                <w:sz w:val="21"/>
                <w:szCs w:val="21"/>
              </w:rPr>
              <w:t>母公司报表本年度末累计未分配利润（元）</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10CEF447" w14:textId="7777777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hint="eastAsia"/>
                <w:sz w:val="21"/>
                <w:szCs w:val="21"/>
              </w:rPr>
              <w:t>498,178,765.60</w:t>
            </w:r>
          </w:p>
        </w:tc>
      </w:tr>
      <w:tr w:rsidR="00A7510C" w14:paraId="7CD0C77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2C1305D" w14:textId="77777777" w:rsidR="00A7510C" w:rsidRDefault="00F974FA">
            <w:pPr>
              <w:spacing w:after="0" w:line="400" w:lineRule="exact"/>
              <w:rPr>
                <w:rFonts w:ascii="宋体" w:eastAsia="宋体" w:hAnsi="宋体" w:cs="宋体" w:hint="eastAsia"/>
                <w:sz w:val="21"/>
                <w:szCs w:val="21"/>
              </w:rPr>
            </w:pPr>
            <w:r>
              <w:rPr>
                <w:rFonts w:ascii="宋体" w:eastAsia="宋体" w:hAnsi="宋体" w:cs="宋体"/>
                <w:sz w:val="21"/>
                <w:szCs w:val="21"/>
              </w:rPr>
              <w:t>上市是否满三个完整会计年度</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78695AE4" w14:textId="77777777" w:rsidR="00A7510C" w:rsidRDefault="00F974FA">
            <w:pPr>
              <w:spacing w:after="0" w:line="240" w:lineRule="exact"/>
              <w:rPr>
                <w:rFonts w:ascii="宋体" w:eastAsia="宋体" w:hAnsi="宋体" w:cs="宋体" w:hint="eastAsia"/>
                <w:sz w:val="21"/>
                <w:szCs w:val="21"/>
              </w:rPr>
            </w:pPr>
            <w:r>
              <w:rPr>
                <w:rFonts w:ascii="宋体" w:eastAsia="宋体" w:hAnsi="宋体" w:cs="宋体"/>
                <w:sz w:val="21"/>
                <w:szCs w:val="21"/>
              </w:rPr>
              <w:sym w:font="Wingdings 2" w:char="F052"/>
            </w:r>
            <w:r>
              <w:rPr>
                <w:rFonts w:ascii="宋体" w:eastAsia="宋体" w:hAnsi="宋体" w:cs="宋体"/>
                <w:sz w:val="21"/>
                <w:szCs w:val="21"/>
              </w:rPr>
              <w:t xml:space="preserve">是 </w:t>
            </w:r>
            <w:r>
              <w:rPr>
                <w:rFonts w:ascii="宋体" w:eastAsia="宋体" w:hAnsi="宋体" w:cs="宋体" w:hint="eastAsia"/>
                <w:sz w:val="21"/>
                <w:szCs w:val="21"/>
              </w:rPr>
              <w:t>□</w:t>
            </w:r>
            <w:r>
              <w:rPr>
                <w:rFonts w:ascii="宋体" w:eastAsia="宋体" w:hAnsi="宋体" w:cs="宋体"/>
                <w:sz w:val="21"/>
                <w:szCs w:val="21"/>
              </w:rPr>
              <w:t>否</w:t>
            </w:r>
          </w:p>
        </w:tc>
      </w:tr>
      <w:tr w:rsidR="00A7510C" w14:paraId="38F6DC32" w14:textId="77777777">
        <w:trPr>
          <w:trHeight w:val="40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08072E5" w14:textId="77777777" w:rsidR="00A7510C" w:rsidRDefault="00F974FA">
            <w:pPr>
              <w:spacing w:after="0" w:line="400" w:lineRule="exact"/>
              <w:rPr>
                <w:rFonts w:ascii="宋体" w:eastAsia="宋体" w:hAnsi="宋体" w:cs="宋体" w:hint="eastAsia"/>
                <w:sz w:val="21"/>
                <w:szCs w:val="21"/>
              </w:rPr>
            </w:pPr>
            <w:r>
              <w:rPr>
                <w:rFonts w:ascii="宋体" w:eastAsia="宋体" w:hAnsi="宋体" w:cs="宋体"/>
                <w:sz w:val="21"/>
                <w:szCs w:val="21"/>
              </w:rPr>
              <w:t>最近三个会计年度累计现金分红总额（元）</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0AC4BF98" w14:textId="7777777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sz w:val="21"/>
                <w:szCs w:val="21"/>
              </w:rPr>
              <w:t>26,476,081.92</w:t>
            </w:r>
          </w:p>
        </w:tc>
      </w:tr>
      <w:tr w:rsidR="00A7510C" w14:paraId="1FF25C19" w14:textId="77777777">
        <w:trPr>
          <w:trHeight w:val="40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16A49EB" w14:textId="77777777" w:rsidR="00A7510C" w:rsidRDefault="00F974FA">
            <w:pPr>
              <w:spacing w:after="0" w:line="400" w:lineRule="exact"/>
              <w:rPr>
                <w:rFonts w:ascii="宋体" w:eastAsia="宋体" w:hAnsi="宋体" w:cs="宋体" w:hint="eastAsia"/>
                <w:sz w:val="21"/>
                <w:szCs w:val="21"/>
              </w:rPr>
            </w:pPr>
            <w:r>
              <w:rPr>
                <w:rFonts w:ascii="宋体" w:eastAsia="宋体" w:hAnsi="宋体" w:cs="宋体"/>
                <w:sz w:val="21"/>
                <w:szCs w:val="21"/>
              </w:rPr>
              <w:t>最近三个会计年度累计回购注销总额（元）</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15A2C1D2" w14:textId="7777777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sz w:val="21"/>
                <w:szCs w:val="21"/>
              </w:rPr>
              <w:t>0</w:t>
            </w:r>
          </w:p>
        </w:tc>
      </w:tr>
      <w:tr w:rsidR="00A7510C" w14:paraId="3B369BBE" w14:textId="77777777">
        <w:trPr>
          <w:trHeight w:val="40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FC3F783" w14:textId="77777777" w:rsidR="00A7510C" w:rsidRDefault="00F974FA">
            <w:pPr>
              <w:spacing w:after="0" w:line="400" w:lineRule="exact"/>
              <w:rPr>
                <w:rFonts w:ascii="宋体" w:eastAsia="宋体" w:hAnsi="宋体" w:cs="宋体" w:hint="eastAsia"/>
                <w:sz w:val="21"/>
                <w:szCs w:val="21"/>
              </w:rPr>
            </w:pPr>
            <w:r>
              <w:rPr>
                <w:rFonts w:ascii="宋体" w:eastAsia="宋体" w:hAnsi="宋体" w:cs="宋体"/>
                <w:sz w:val="21"/>
                <w:szCs w:val="21"/>
              </w:rPr>
              <w:t>最近三个会计年度平均净利润（元）</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0BFB1A8F" w14:textId="0B4C540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hint="eastAsia"/>
                <w:sz w:val="21"/>
                <w:szCs w:val="21"/>
              </w:rPr>
              <w:t>40,514,757.36</w:t>
            </w:r>
            <w:r w:rsidR="00C72A55">
              <w:rPr>
                <w:rFonts w:ascii="宋体" w:eastAsia="宋体" w:hAnsi="宋体" w:cs="宋体" w:hint="eastAsia"/>
                <w:sz w:val="21"/>
                <w:szCs w:val="21"/>
              </w:rPr>
              <w:t>33</w:t>
            </w:r>
          </w:p>
        </w:tc>
      </w:tr>
      <w:tr w:rsidR="00A7510C" w14:paraId="2E590B3D" w14:textId="77777777">
        <w:trPr>
          <w:trHeight w:val="40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9019FEA" w14:textId="77777777" w:rsidR="00A7510C" w:rsidRDefault="00F974FA">
            <w:pPr>
              <w:spacing w:after="40" w:line="400" w:lineRule="exact"/>
              <w:rPr>
                <w:rFonts w:ascii="宋体" w:eastAsia="宋体" w:hAnsi="宋体" w:cs="宋体" w:hint="eastAsia"/>
                <w:sz w:val="21"/>
                <w:szCs w:val="21"/>
              </w:rPr>
            </w:pPr>
            <w:r>
              <w:rPr>
                <w:rFonts w:ascii="宋体" w:eastAsia="宋体" w:hAnsi="宋体" w:cs="宋体"/>
                <w:sz w:val="21"/>
                <w:szCs w:val="21"/>
              </w:rPr>
              <w:t>最近三个会计年度累计现金分红及回购注销总额（元）</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0E60B053" w14:textId="77777777" w:rsidR="00A7510C" w:rsidRDefault="00F974FA">
            <w:pPr>
              <w:spacing w:after="0" w:line="400" w:lineRule="exact"/>
              <w:jc w:val="right"/>
              <w:rPr>
                <w:rFonts w:ascii="宋体" w:eastAsia="宋体" w:hAnsi="宋体" w:cs="宋体" w:hint="eastAsia"/>
                <w:sz w:val="21"/>
                <w:szCs w:val="21"/>
              </w:rPr>
            </w:pPr>
            <w:r>
              <w:rPr>
                <w:rFonts w:ascii="宋体" w:eastAsia="宋体" w:hAnsi="宋体" w:cs="宋体"/>
                <w:sz w:val="21"/>
                <w:szCs w:val="21"/>
              </w:rPr>
              <w:t>26,476,081.92</w:t>
            </w:r>
          </w:p>
        </w:tc>
      </w:tr>
      <w:tr w:rsidR="00A7510C" w14:paraId="1D904F0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910E7A5" w14:textId="77777777" w:rsidR="00A7510C" w:rsidRDefault="00F974FA">
            <w:pPr>
              <w:spacing w:after="0" w:line="400" w:lineRule="exact"/>
              <w:rPr>
                <w:rFonts w:ascii="宋体" w:eastAsia="宋体" w:hAnsi="宋体" w:cs="宋体" w:hint="eastAsia"/>
                <w:sz w:val="21"/>
                <w:szCs w:val="21"/>
              </w:rPr>
            </w:pPr>
            <w:r>
              <w:rPr>
                <w:rFonts w:ascii="宋体" w:eastAsia="宋体" w:hAnsi="宋体" w:cs="宋体"/>
                <w:sz w:val="21"/>
                <w:szCs w:val="21"/>
              </w:rPr>
              <w:t>是否触及《股票上市规则》第9.8.1条第（九）项规定的可能被实施其他风险警示情形</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08937F89" w14:textId="77777777" w:rsidR="00A7510C" w:rsidRDefault="00F974FA">
            <w:pPr>
              <w:spacing w:after="0" w:line="240" w:lineRule="exact"/>
              <w:rPr>
                <w:rFonts w:ascii="宋体" w:eastAsia="宋体" w:hAnsi="宋体" w:cs="宋体" w:hint="eastAsia"/>
                <w:sz w:val="21"/>
                <w:szCs w:val="21"/>
              </w:rPr>
            </w:pPr>
            <w:r>
              <w:rPr>
                <w:rFonts w:ascii="宋体" w:eastAsia="宋体" w:hAnsi="宋体" w:cs="宋体"/>
                <w:sz w:val="21"/>
                <w:szCs w:val="21"/>
              </w:rPr>
              <w:t xml:space="preserve">□是 </w:t>
            </w:r>
            <w:r>
              <w:rPr>
                <w:rFonts w:ascii="宋体" w:eastAsia="宋体" w:hAnsi="宋体" w:cs="宋体"/>
                <w:sz w:val="21"/>
                <w:szCs w:val="21"/>
              </w:rPr>
              <w:sym w:font="Wingdings 2" w:char="F052"/>
            </w:r>
            <w:r>
              <w:rPr>
                <w:rFonts w:ascii="宋体" w:eastAsia="宋体" w:hAnsi="宋体" w:cs="宋体"/>
                <w:sz w:val="21"/>
                <w:szCs w:val="21"/>
              </w:rPr>
              <w:t>否</w:t>
            </w:r>
          </w:p>
        </w:tc>
      </w:tr>
    </w:tbl>
    <w:p w14:paraId="4434E2D0" w14:textId="77777777" w:rsidR="00A7510C" w:rsidRPr="00A751DA" w:rsidRDefault="00F974FA" w:rsidP="00A751DA">
      <w:pPr>
        <w:pStyle w:val="a7"/>
        <w:spacing w:before="0" w:beforeAutospacing="0" w:after="0" w:afterAutospacing="0" w:line="360" w:lineRule="auto"/>
        <w:ind w:firstLineChars="200" w:firstLine="480"/>
        <w:jc w:val="both"/>
        <w:rPr>
          <w:rFonts w:cs="Times New Roman" w:hint="eastAsia"/>
        </w:rPr>
      </w:pPr>
      <w:r w:rsidRPr="00A751DA">
        <w:rPr>
          <w:rFonts w:cs="Times New Roman" w:hint="eastAsia"/>
        </w:rPr>
        <w:t>结合上述指标，公司未触及《深圳证券交易所股票上市规则》第9.8.1条规定的可能被实施其他风险警示情形。</w:t>
      </w:r>
    </w:p>
    <w:p w14:paraId="3BEE1789" w14:textId="77777777" w:rsidR="00A7510C" w:rsidRPr="00A751DA" w:rsidRDefault="00F974FA" w:rsidP="00A751DA">
      <w:pPr>
        <w:pStyle w:val="a7"/>
        <w:spacing w:before="0" w:beforeAutospacing="0" w:after="0" w:afterAutospacing="0" w:line="360" w:lineRule="auto"/>
        <w:ind w:firstLineChars="200" w:firstLine="482"/>
        <w:jc w:val="both"/>
        <w:rPr>
          <w:rFonts w:cs="Times New Roman" w:hint="eastAsia"/>
          <w:b/>
          <w:bCs/>
        </w:rPr>
      </w:pPr>
      <w:r w:rsidRPr="00A751DA">
        <w:rPr>
          <w:rFonts w:cs="Times New Roman"/>
          <w:b/>
          <w:bCs/>
        </w:rPr>
        <w:t>（二）现金分红方案合理性说明</w:t>
      </w:r>
      <w:bookmarkEnd w:id="9"/>
    </w:p>
    <w:p w14:paraId="3809B1AB" w14:textId="77777777" w:rsidR="00A7510C" w:rsidRDefault="00F974FA">
      <w:pPr>
        <w:pStyle w:val="a7"/>
        <w:spacing w:before="0" w:beforeAutospacing="0" w:after="0" w:afterAutospacing="0" w:line="360" w:lineRule="auto"/>
        <w:ind w:firstLineChars="200" w:firstLine="480"/>
        <w:jc w:val="both"/>
        <w:rPr>
          <w:rFonts w:cs="Times New Roman" w:hint="eastAsia"/>
        </w:rPr>
      </w:pPr>
      <w:r>
        <w:rPr>
          <w:rFonts w:cs="Times New Roman" w:hint="eastAsia"/>
        </w:rPr>
        <w:t>公司着眼于长远和可持续发展的目标，并充分重视对投资者的合理回报，在综合考虑股东意愿、外部环境、公司盈利能力、现金流量状况、经营发展战略等基础上，持续、稳</w:t>
      </w:r>
      <w:r>
        <w:rPr>
          <w:rFonts w:cs="Times New Roman" w:hint="eastAsia"/>
        </w:rPr>
        <w:lastRenderedPageBreak/>
        <w:t>定、科学地对公司利润分配做出安排，保证利润分配政策的连续性和稳定性。公司2025年度利润分配预案符合《公司法》《上市公司监管指引第3 号——上市公司现金分红》《深圳证券交易所上市公司自律监管指引第1号——主板上市公司规范运作》及《公司章程》等相关规定。</w:t>
      </w:r>
    </w:p>
    <w:p w14:paraId="66F1D139" w14:textId="77777777" w:rsidR="00A7510C" w:rsidRPr="00A751DA" w:rsidRDefault="00F974FA" w:rsidP="00A751DA">
      <w:pPr>
        <w:pStyle w:val="a7"/>
        <w:spacing w:before="0" w:beforeAutospacing="0" w:after="0" w:afterAutospacing="0" w:line="360" w:lineRule="auto"/>
        <w:ind w:firstLineChars="200" w:firstLine="482"/>
        <w:jc w:val="both"/>
        <w:rPr>
          <w:rFonts w:cs="Times New Roman" w:hint="eastAsia"/>
          <w:b/>
          <w:bCs/>
        </w:rPr>
      </w:pPr>
      <w:bookmarkStart w:id="12" w:name="_Toc988898"/>
      <w:r w:rsidRPr="00A751DA">
        <w:rPr>
          <w:rFonts w:cs="Times New Roman" w:hint="eastAsia"/>
          <w:b/>
          <w:bCs/>
        </w:rPr>
        <w:t>四</w:t>
      </w:r>
      <w:r w:rsidRPr="00A751DA">
        <w:rPr>
          <w:rFonts w:cs="Times New Roman"/>
          <w:b/>
          <w:bCs/>
        </w:rPr>
        <w:t>、备查文件</w:t>
      </w:r>
      <w:bookmarkEnd w:id="12"/>
    </w:p>
    <w:p w14:paraId="65F46B52" w14:textId="77777777" w:rsidR="00A7510C" w:rsidRDefault="00F974FA">
      <w:pPr>
        <w:pStyle w:val="a7"/>
        <w:spacing w:before="0" w:beforeAutospacing="0" w:after="0" w:afterAutospacing="0" w:line="360" w:lineRule="auto"/>
        <w:ind w:firstLineChars="200" w:firstLine="480"/>
        <w:jc w:val="both"/>
        <w:rPr>
          <w:rFonts w:cs="Times New Roman" w:hint="eastAsia"/>
        </w:rPr>
      </w:pPr>
      <w:r>
        <w:rPr>
          <w:rFonts w:cs="Times New Roman" w:hint="eastAsia"/>
        </w:rPr>
        <w:t>1、公司第六届董事会第六次会议决议；</w:t>
      </w:r>
    </w:p>
    <w:p w14:paraId="6CC60D0A" w14:textId="6900245C" w:rsidR="00A7510C" w:rsidRDefault="00F974FA">
      <w:pPr>
        <w:pStyle w:val="a7"/>
        <w:spacing w:before="0" w:beforeAutospacing="0" w:after="0" w:afterAutospacing="0" w:line="360" w:lineRule="auto"/>
        <w:ind w:firstLineChars="200" w:firstLine="480"/>
        <w:jc w:val="both"/>
        <w:rPr>
          <w:rFonts w:cs="Times New Roman" w:hint="eastAsia"/>
        </w:rPr>
      </w:pPr>
      <w:r>
        <w:rPr>
          <w:rFonts w:cs="Times New Roman" w:hint="eastAsia"/>
        </w:rPr>
        <w:t>2、第六届董事会审计委员会2026年第一次会议决议</w:t>
      </w:r>
      <w:r w:rsidR="00072FD4">
        <w:rPr>
          <w:rFonts w:cs="Times New Roman" w:hint="eastAsia"/>
        </w:rPr>
        <w:t>。</w:t>
      </w:r>
    </w:p>
    <w:p w14:paraId="04EF3A30" w14:textId="77777777" w:rsidR="00A7510C" w:rsidRPr="00A751DA" w:rsidRDefault="00A7510C" w:rsidP="00A751DA">
      <w:pPr>
        <w:pStyle w:val="a7"/>
        <w:spacing w:before="0" w:beforeAutospacing="0" w:after="0" w:afterAutospacing="0" w:line="360" w:lineRule="auto"/>
        <w:ind w:firstLineChars="200" w:firstLine="482"/>
        <w:jc w:val="both"/>
        <w:rPr>
          <w:rFonts w:cs="Times New Roman" w:hint="eastAsia"/>
          <w:b/>
          <w:bCs/>
        </w:rPr>
      </w:pPr>
      <w:bookmarkStart w:id="13" w:name="_Toc988899"/>
      <w:bookmarkEnd w:id="13"/>
    </w:p>
    <w:p w14:paraId="6897F929" w14:textId="77777777" w:rsidR="00A7510C" w:rsidRDefault="00F974FA">
      <w:pPr>
        <w:spacing w:after="0" w:line="360" w:lineRule="auto"/>
        <w:ind w:firstLineChars="200" w:firstLine="480"/>
        <w:rPr>
          <w:rFonts w:ascii="宋体" w:eastAsia="宋体" w:hAnsi="宋体" w:cs="宋体" w:hint="eastAsia"/>
          <w:sz w:val="24"/>
        </w:rPr>
      </w:pPr>
      <w:r>
        <w:rPr>
          <w:rFonts w:ascii="宋体" w:eastAsia="宋体" w:hAnsi="宋体" w:cs="宋体"/>
          <w:sz w:val="24"/>
        </w:rPr>
        <w:t>特此公告。</w:t>
      </w:r>
    </w:p>
    <w:p w14:paraId="293E7CCD" w14:textId="77777777" w:rsidR="00A7510C" w:rsidRDefault="00F974FA">
      <w:pPr>
        <w:spacing w:after="0" w:line="360" w:lineRule="auto"/>
        <w:ind w:firstLineChars="200" w:firstLine="480"/>
        <w:jc w:val="right"/>
        <w:rPr>
          <w:rFonts w:ascii="宋体" w:eastAsia="宋体" w:hAnsi="宋体" w:cs="宋体" w:hint="eastAsia"/>
          <w:sz w:val="24"/>
        </w:rPr>
      </w:pPr>
      <w:r>
        <w:rPr>
          <w:rFonts w:ascii="宋体" w:eastAsia="宋体" w:hAnsi="宋体" w:cs="宋体"/>
          <w:sz w:val="24"/>
        </w:rPr>
        <w:t>浙江威星智能仪表股份有限公司</w:t>
      </w:r>
    </w:p>
    <w:p w14:paraId="5D469552" w14:textId="77777777" w:rsidR="00A7510C" w:rsidRDefault="00F974FA">
      <w:pPr>
        <w:spacing w:after="0" w:line="360" w:lineRule="auto"/>
        <w:ind w:firstLineChars="200" w:firstLine="480"/>
        <w:jc w:val="right"/>
        <w:rPr>
          <w:rFonts w:ascii="宋体" w:eastAsia="宋体" w:hAnsi="宋体" w:cs="宋体" w:hint="eastAsia"/>
          <w:sz w:val="24"/>
        </w:rPr>
      </w:pPr>
      <w:r>
        <w:rPr>
          <w:rFonts w:ascii="宋体" w:eastAsia="宋体" w:hAnsi="宋体" w:cs="宋体"/>
          <w:sz w:val="24"/>
        </w:rPr>
        <w:t>董事会</w:t>
      </w:r>
    </w:p>
    <w:p w14:paraId="77DB4440" w14:textId="77777777" w:rsidR="00A7510C" w:rsidRDefault="00F974FA">
      <w:pPr>
        <w:spacing w:after="0" w:line="360" w:lineRule="auto"/>
        <w:ind w:firstLineChars="200" w:firstLine="480"/>
        <w:jc w:val="right"/>
        <w:rPr>
          <w:rFonts w:ascii="宋体" w:eastAsia="宋体" w:hAnsi="宋体" w:cs="宋体" w:hint="eastAsia"/>
          <w:sz w:val="24"/>
        </w:rPr>
      </w:pPr>
      <w:r>
        <w:rPr>
          <w:rFonts w:ascii="宋体" w:eastAsia="宋体" w:hAnsi="宋体" w:cs="宋体" w:hint="eastAsia"/>
          <w:sz w:val="24"/>
        </w:rPr>
        <w:t>2026年4月28日</w:t>
      </w:r>
    </w:p>
    <w:sectPr w:rsidR="00A7510C">
      <w:headerReference w:type="even" r:id="rId7"/>
      <w:headerReference w:type="default" r:id="rId8"/>
      <w:footerReference w:type="even" r:id="rId9"/>
      <w:footerReference w:type="default" r:id="rId10"/>
      <w:headerReference w:type="first" r:id="rId11"/>
      <w:footerReference w:type="first" r:id="rId12"/>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F4D2" w14:textId="77777777" w:rsidR="003613ED" w:rsidRDefault="003613ED">
      <w:pPr>
        <w:spacing w:line="240" w:lineRule="auto"/>
        <w:rPr>
          <w:rFonts w:hint="eastAsia"/>
        </w:rPr>
      </w:pPr>
      <w:r>
        <w:separator/>
      </w:r>
    </w:p>
  </w:endnote>
  <w:endnote w:type="continuationSeparator" w:id="0">
    <w:p w14:paraId="02E6E262" w14:textId="77777777" w:rsidR="003613ED" w:rsidRDefault="003613E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199D" w14:textId="77777777" w:rsidR="00A7510C" w:rsidRDefault="00A7510C">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9A6B" w14:textId="77777777" w:rsidR="00A7510C" w:rsidRDefault="00F974FA">
    <w:pPr>
      <w:pStyle w:val="fotter1"/>
      <w:rPr>
        <w:rFonts w:hint="eastAsia"/>
      </w:rP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5E91" w14:textId="77777777" w:rsidR="00A7510C" w:rsidRDefault="00A7510C">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12A27" w14:textId="77777777" w:rsidR="003613ED" w:rsidRDefault="003613ED">
      <w:pPr>
        <w:spacing w:after="0"/>
        <w:rPr>
          <w:rFonts w:hint="eastAsia"/>
        </w:rPr>
      </w:pPr>
      <w:r>
        <w:separator/>
      </w:r>
    </w:p>
  </w:footnote>
  <w:footnote w:type="continuationSeparator" w:id="0">
    <w:p w14:paraId="175B121F" w14:textId="77777777" w:rsidR="003613ED" w:rsidRDefault="003613ED">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F4B1" w14:textId="77777777" w:rsidR="00A7510C" w:rsidRDefault="00A7510C">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CF05" w14:textId="77777777" w:rsidR="00A7510C" w:rsidRDefault="00A7510C">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55E6" w14:textId="77777777" w:rsidR="00A7510C" w:rsidRDefault="00A7510C">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20D51"/>
    <w:multiLevelType w:val="multilevel"/>
    <w:tmpl w:val="2F620D51"/>
    <w:lvl w:ilvl="0">
      <w:start w:val="1"/>
      <w:numFmt w:val="japaneseCounting"/>
      <w:lvlText w:val="%1、"/>
      <w:lvlJc w:val="left"/>
      <w:pPr>
        <w:ind w:left="1202" w:hanging="72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num w:numId="1" w16cid:durableId="10488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76443F"/>
    <w:rsid w:val="00013B9E"/>
    <w:rsid w:val="000470EE"/>
    <w:rsid w:val="00050394"/>
    <w:rsid w:val="00072FD4"/>
    <w:rsid w:val="000D5A9C"/>
    <w:rsid w:val="00162887"/>
    <w:rsid w:val="001A519C"/>
    <w:rsid w:val="00237634"/>
    <w:rsid w:val="002A0154"/>
    <w:rsid w:val="00350509"/>
    <w:rsid w:val="003602DF"/>
    <w:rsid w:val="003613ED"/>
    <w:rsid w:val="003C43E7"/>
    <w:rsid w:val="003D492E"/>
    <w:rsid w:val="00403505"/>
    <w:rsid w:val="004100DF"/>
    <w:rsid w:val="004B5E0B"/>
    <w:rsid w:val="004F173B"/>
    <w:rsid w:val="005C11BD"/>
    <w:rsid w:val="006C05F1"/>
    <w:rsid w:val="0076443F"/>
    <w:rsid w:val="00771D4F"/>
    <w:rsid w:val="007B0F72"/>
    <w:rsid w:val="008B6CC4"/>
    <w:rsid w:val="00993D8B"/>
    <w:rsid w:val="009A277C"/>
    <w:rsid w:val="009D633E"/>
    <w:rsid w:val="00A331E3"/>
    <w:rsid w:val="00A7510C"/>
    <w:rsid w:val="00A751DA"/>
    <w:rsid w:val="00B728C0"/>
    <w:rsid w:val="00B84D11"/>
    <w:rsid w:val="00BB59EC"/>
    <w:rsid w:val="00BE3F4D"/>
    <w:rsid w:val="00C3391C"/>
    <w:rsid w:val="00C72A55"/>
    <w:rsid w:val="00C84551"/>
    <w:rsid w:val="00DC789F"/>
    <w:rsid w:val="00E1726B"/>
    <w:rsid w:val="00E855E3"/>
    <w:rsid w:val="00E90E69"/>
    <w:rsid w:val="00F034C3"/>
    <w:rsid w:val="00F366E5"/>
    <w:rsid w:val="00F974FA"/>
    <w:rsid w:val="5FD12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4990B"/>
  <w15:docId w15:val="{230A4B33-238E-4F9E-8CC2-485B9BFD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2">
    <w:name w:val="heading 2"/>
    <w:basedOn w:val="a"/>
    <w:next w:val="a"/>
    <w:uiPriority w:val="9"/>
    <w:unhideWhenUsed/>
    <w:qFormat/>
    <w:pPr>
      <w:keepNext/>
      <w:keepLines/>
      <w:spacing w:before="156" w:after="156" w:line="240" w:lineRule="auto"/>
      <w:outlineLvl w:val="1"/>
    </w:pPr>
    <w:rPr>
      <w:sz w:val="21"/>
      <w:szCs w:val="21"/>
    </w:rPr>
  </w:style>
  <w:style w:type="paragraph" w:styleId="3">
    <w:name w:val="heading 3"/>
    <w:basedOn w:val="a"/>
    <w:next w:val="a"/>
    <w:uiPriority w:val="9"/>
    <w:unhideWhenUsed/>
    <w:qFormat/>
    <w:pPr>
      <w:keepNext/>
      <w:keepLines/>
      <w:spacing w:before="300" w:after="300" w:line="241" w:lineRule="auto"/>
      <w:jc w:val="both"/>
      <w:outlineLvl w:val="2"/>
    </w:pPr>
    <w:rPr>
      <w:rFonts w:eastAsia="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qFormat/>
    <w:pPr>
      <w:ind w:leftChars="200" w:left="420"/>
    </w:pPr>
  </w:style>
  <w:style w:type="paragraph" w:styleId="a7">
    <w:name w:val="Normal (Web)"/>
    <w:basedOn w:val="a"/>
    <w:uiPriority w:val="99"/>
    <w:semiHidden/>
    <w:unhideWhenUsed/>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Header1">
    <w:name w:val="Header 1"/>
    <w:pPr>
      <w:spacing w:after="160" w:line="278" w:lineRule="auto"/>
      <w:jc w:val="right"/>
    </w:pPr>
    <w:rPr>
      <w:rFonts w:ascii="宋体" w:hAnsiTheme="minorHAnsi" w:cstheme="minorBidi"/>
      <w:kern w:val="2"/>
      <w:sz w:val="18"/>
      <w:szCs w:val="18"/>
      <w14:ligatures w14:val="standardContextual"/>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spacing w:after="160" w:line="278" w:lineRule="auto"/>
      <w:jc w:val="right"/>
    </w:pPr>
    <w:rPr>
      <w:rFonts w:ascii="宋体" w:hAnsiTheme="minorHAnsi" w:cstheme="minorBidi"/>
      <w:kern w:val="2"/>
      <w:sz w:val="18"/>
      <w:szCs w:val="18"/>
      <w14:ligatures w14:val="standardContextual"/>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764</Words>
  <Characters>964</Characters>
  <Application>Microsoft Office Word</Application>
  <DocSecurity>0</DocSecurity>
  <Lines>56</Lines>
  <Paragraphs>61</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19</cp:revision>
  <cp:lastPrinted>2026-04-16T08:20:00Z</cp:lastPrinted>
  <dcterms:created xsi:type="dcterms:W3CDTF">2026-04-14T09:49:00Z</dcterms:created>
  <dcterms:modified xsi:type="dcterms:W3CDTF">2026-04-26T05:28:00Z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eyJoZGlkIjoiMDZkODQ3MDFjNzdkYjgwNWRlZDRmZjE4YzYxYzY0M2IiLCJ1c2VySWQiOiIzMjkyMzYyMzEifQ==</vt:lpwstr>
  </property>
  <property fmtid="{D5CDD505-2E9C-101B-9397-08002B2CF9AE}" pid="3" name="KSOProductBuildVer">
    <vt:lpwstr>2052-12.1.0.25865</vt:lpwstr>
  </property>
  <property fmtid="{D5CDD505-2E9C-101B-9397-08002B2CF9AE}" pid="4" name="ICV">
    <vt:lpwstr>AEEE68BABE384E03834F5026D980EDD5_12</vt:lpwstr>
  </property>
</Properties>
</file>