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sz w:val="24"/>
          <w:lang w:val="en-US" w:eastAsia="zh-CN"/>
        </w:rPr>
      </w:pPr>
      <w:r>
        <w:rPr>
          <w:rFonts w:ascii="宋体" w:hAnsi="宋体" w:eastAsia="宋体"/>
          <w:sz w:val="24"/>
        </w:rPr>
        <w:t>证券代码：002849          证券简称</w:t>
      </w:r>
      <w:r>
        <w:rPr>
          <w:rFonts w:hint="eastAsia" w:ascii="宋体" w:hAnsi="宋体" w:eastAsia="宋体"/>
          <w:sz w:val="24"/>
        </w:rPr>
        <w:t xml:space="preserve">：威星智能 </w:t>
      </w:r>
      <w:r>
        <w:rPr>
          <w:rFonts w:ascii="宋体" w:hAnsi="宋体" w:eastAsia="宋体"/>
          <w:sz w:val="24"/>
        </w:rPr>
        <w:t xml:space="preserve">      </w:t>
      </w:r>
      <w:r>
        <w:rPr>
          <w:rFonts w:hint="eastAsia" w:ascii="宋体" w:hAnsi="宋体" w:eastAsia="宋体"/>
          <w:sz w:val="24"/>
        </w:rPr>
        <w:t>公告编号：20</w:t>
      </w:r>
      <w:r>
        <w:rPr>
          <w:rFonts w:ascii="宋体" w:hAnsi="宋体" w:eastAsia="宋体"/>
          <w:sz w:val="24"/>
        </w:rPr>
        <w:t>2</w:t>
      </w:r>
      <w:r>
        <w:rPr>
          <w:rFonts w:hint="eastAsia" w:ascii="宋体" w:hAnsi="宋体" w:eastAsia="宋体"/>
          <w:sz w:val="24"/>
        </w:rPr>
        <w:t>6-</w:t>
      </w:r>
      <w:r>
        <w:rPr>
          <w:rFonts w:ascii="宋体" w:hAnsi="宋体" w:eastAsia="宋体"/>
          <w:sz w:val="24"/>
        </w:rPr>
        <w:t>0</w:t>
      </w:r>
      <w:r>
        <w:rPr>
          <w:rFonts w:hint="eastAsia" w:ascii="宋体" w:hAnsi="宋体" w:eastAsia="宋体"/>
          <w:sz w:val="24"/>
          <w:lang w:val="en-US" w:eastAsia="zh-CN"/>
        </w:rPr>
        <w:t>13</w:t>
      </w:r>
    </w:p>
    <w:p>
      <w:pPr>
        <w:jc w:val="center"/>
        <w:rPr>
          <w:rFonts w:hint="eastAsia" w:ascii="宋体" w:hAnsi="宋体" w:eastAsia="宋体"/>
          <w:b/>
          <w:sz w:val="28"/>
        </w:rPr>
      </w:pPr>
    </w:p>
    <w:p>
      <w:pPr>
        <w:spacing w:line="360" w:lineRule="auto"/>
        <w:jc w:val="center"/>
        <w:rPr>
          <w:rFonts w:hint="eastAsia" w:ascii="宋体" w:hAnsi="宋体" w:eastAsia="宋体"/>
          <w:b/>
          <w:sz w:val="28"/>
        </w:rPr>
      </w:pPr>
      <w:r>
        <w:rPr>
          <w:rFonts w:ascii="宋体" w:hAnsi="宋体" w:eastAsia="宋体"/>
          <w:b/>
          <w:sz w:val="28"/>
        </w:rPr>
        <w:t>浙江威星智能</w:t>
      </w:r>
      <w:r>
        <w:rPr>
          <w:rFonts w:hint="eastAsia" w:ascii="宋体" w:hAnsi="宋体" w:eastAsia="宋体"/>
          <w:b/>
          <w:sz w:val="28"/>
        </w:rPr>
        <w:t>仪表</w:t>
      </w:r>
      <w:r>
        <w:rPr>
          <w:rFonts w:ascii="宋体" w:hAnsi="宋体" w:eastAsia="宋体"/>
          <w:b/>
          <w:sz w:val="28"/>
        </w:rPr>
        <w:t>股份有限公司</w:t>
      </w:r>
    </w:p>
    <w:p>
      <w:pPr>
        <w:spacing w:line="360" w:lineRule="auto"/>
        <w:jc w:val="center"/>
        <w:rPr>
          <w:rFonts w:hint="eastAsia" w:ascii="宋体" w:hAnsi="宋体" w:eastAsia="宋体"/>
          <w:b/>
          <w:sz w:val="28"/>
        </w:rPr>
      </w:pPr>
      <w:r>
        <w:rPr>
          <w:rFonts w:hint="eastAsia" w:ascii="宋体" w:hAnsi="宋体" w:eastAsia="宋体"/>
          <w:b/>
          <w:sz w:val="28"/>
        </w:rPr>
        <w:t>关于使用闲置自有资金进行委托理财的进展公告</w:t>
      </w:r>
    </w:p>
    <w:p>
      <w:pPr>
        <w:widowControl/>
        <w:pBdr>
          <w:top w:val="single" w:color="auto" w:sz="4" w:space="1"/>
          <w:left w:val="single" w:color="auto" w:sz="4" w:space="4"/>
          <w:bottom w:val="single" w:color="auto" w:sz="4" w:space="1"/>
          <w:right w:val="single" w:color="auto" w:sz="4" w:space="0"/>
        </w:pBdr>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rPr>
        <w:t>本公司及董事会全体成员</w:t>
      </w:r>
      <w:r>
        <w:rPr>
          <w:rFonts w:ascii="宋体" w:hAnsi="宋体" w:eastAsia="宋体" w:cs="宋体"/>
          <w:b/>
          <w:kern w:val="0"/>
          <w:sz w:val="24"/>
        </w:rPr>
        <w:t>保证信息披露的内容真实、准确、完整，没有虚假</w:t>
      </w:r>
      <w:r>
        <w:rPr>
          <w:rFonts w:ascii="宋体" w:hAnsi="宋体" w:eastAsia="宋体" w:cs="宋体"/>
          <w:b/>
          <w:kern w:val="0"/>
          <w:sz w:val="24"/>
          <w:szCs w:val="24"/>
        </w:rPr>
        <w:t>记载、误导性陈述或重大遗漏。</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浙江威星智能仪表股份有限公司（以下简称“公司”或“威星智能”）于2025年4月27日召开第六届董事会第二次会议及第六届监事会第二次会议，审议通过了《关于2025年度使用闲置自有资金进行委托理财的议案》，并于2025年5月19日召开2024年年度股东会，审议通过了该议案，同意公司及控股子公司在不影响正常经营的情况下，使用闲置自有资金进行委托理财，单笔额度不超过人民币10,000万元，委托理财的额度在股东会审议通过之日起一年内可以滚动使用。</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以上内容详见公司于2025年4月29日及2025年5月20日在巨潮资讯网（www.cninfo.com.cn）发布的相关公告。</w:t>
      </w:r>
    </w:p>
    <w:p>
      <w:pPr>
        <w:pStyle w:val="12"/>
        <w:numPr>
          <w:ilvl w:val="0"/>
          <w:numId w:val="1"/>
        </w:numPr>
        <w:spacing w:line="360" w:lineRule="auto"/>
        <w:ind w:left="0" w:firstLine="720" w:firstLineChars="0"/>
        <w:jc w:val="left"/>
        <w:outlineLvl w:val="0"/>
        <w:rPr>
          <w:rFonts w:hint="eastAsia" w:ascii="宋体" w:hAnsi="宋体" w:eastAsia="宋体"/>
          <w:b/>
          <w:sz w:val="24"/>
        </w:rPr>
      </w:pPr>
      <w:r>
        <w:rPr>
          <w:rFonts w:hint="eastAsia" w:ascii="宋体" w:hAnsi="宋体" w:eastAsia="宋体"/>
          <w:b/>
          <w:sz w:val="24"/>
        </w:rPr>
        <w:t>本次购买理财产品的主要情况</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公司于近日购买了宁波银行股份有限公司的结构性存款产品，具体情况如下：</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556"/>
        <w:gridCol w:w="570"/>
        <w:gridCol w:w="1112"/>
        <w:gridCol w:w="952"/>
        <w:gridCol w:w="1112"/>
        <w:gridCol w:w="1138"/>
        <w:gridCol w:w="556"/>
        <w:gridCol w:w="1187"/>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08"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rPr>
              <w:t>序号</w:t>
            </w:r>
          </w:p>
        </w:tc>
        <w:tc>
          <w:tcPr>
            <w:tcW w:w="607"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rPr>
              <w:t>受托方</w:t>
            </w:r>
          </w:p>
        </w:tc>
        <w:tc>
          <w:tcPr>
            <w:tcW w:w="625"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rPr>
              <w:t>关联关系</w:t>
            </w:r>
          </w:p>
        </w:tc>
        <w:tc>
          <w:tcPr>
            <w:tcW w:w="1116"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rPr>
              <w:t>产品名称</w:t>
            </w:r>
          </w:p>
        </w:tc>
        <w:tc>
          <w:tcPr>
            <w:tcW w:w="1039"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rPr>
              <w:t>金额</w:t>
            </w:r>
          </w:p>
          <w:p>
            <w:pPr>
              <w:ind w:right="-19" w:rightChars="-9"/>
              <w:jc w:val="center"/>
              <w:rPr>
                <w:rFonts w:hint="eastAsia" w:ascii="宋体" w:hAnsi="宋体" w:eastAsia="宋体"/>
                <w:sz w:val="18"/>
                <w:szCs w:val="18"/>
              </w:rPr>
            </w:pPr>
            <w:r>
              <w:rPr>
                <w:rFonts w:hint="eastAsia" w:ascii="宋体" w:hAnsi="宋体" w:eastAsia="宋体"/>
                <w:sz w:val="18"/>
                <w:szCs w:val="18"/>
              </w:rPr>
              <w:t>（万元）</w:t>
            </w:r>
          </w:p>
        </w:tc>
        <w:tc>
          <w:tcPr>
            <w:tcW w:w="1116"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rPr>
              <w:t>产品起息日</w:t>
            </w:r>
          </w:p>
        </w:tc>
        <w:tc>
          <w:tcPr>
            <w:tcW w:w="1149"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rPr>
              <w:t>到期日</w:t>
            </w:r>
          </w:p>
        </w:tc>
        <w:tc>
          <w:tcPr>
            <w:tcW w:w="607"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rPr>
              <w:t>收益类型</w:t>
            </w:r>
          </w:p>
        </w:tc>
        <w:tc>
          <w:tcPr>
            <w:tcW w:w="822"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rPr>
              <w:t>预期年化收益率</w:t>
            </w:r>
          </w:p>
        </w:tc>
        <w:tc>
          <w:tcPr>
            <w:tcW w:w="607"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08" w:type="dxa"/>
            <w:vAlign w:val="center"/>
          </w:tcPr>
          <w:p>
            <w:pPr>
              <w:ind w:right="-19" w:rightChars="-9"/>
              <w:jc w:val="center"/>
              <w:rPr>
                <w:rFonts w:hint="eastAsia" w:ascii="宋体" w:hAnsi="宋体" w:eastAsia="宋体"/>
                <w:sz w:val="18"/>
                <w:szCs w:val="18"/>
              </w:rPr>
            </w:pPr>
            <w:bookmarkStart w:id="0" w:name="_Hlk218667641"/>
            <w:r>
              <w:rPr>
                <w:rFonts w:hint="eastAsia" w:ascii="宋体" w:hAnsi="宋体" w:eastAsia="宋体"/>
                <w:sz w:val="18"/>
                <w:szCs w:val="18"/>
              </w:rPr>
              <w:t>1</w:t>
            </w:r>
          </w:p>
        </w:tc>
        <w:tc>
          <w:tcPr>
            <w:tcW w:w="607"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rPr>
              <w:t>宁波银行股份有限公司</w:t>
            </w:r>
          </w:p>
        </w:tc>
        <w:tc>
          <w:tcPr>
            <w:tcW w:w="625"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rPr>
              <w:t>不存在关联关系</w:t>
            </w:r>
          </w:p>
        </w:tc>
        <w:tc>
          <w:tcPr>
            <w:tcW w:w="1116"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lang w:val="en-US" w:eastAsia="zh-CN"/>
              </w:rPr>
              <w:t>单位结构性存款 7202601755</w:t>
            </w:r>
          </w:p>
        </w:tc>
        <w:tc>
          <w:tcPr>
            <w:tcW w:w="1039"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lang w:val="en-US" w:eastAsia="zh-CN"/>
              </w:rPr>
              <w:t>3</w:t>
            </w:r>
            <w:r>
              <w:rPr>
                <w:rFonts w:ascii="宋体" w:hAnsi="宋体" w:eastAsia="宋体"/>
                <w:sz w:val="18"/>
                <w:szCs w:val="18"/>
              </w:rPr>
              <w:t>,</w:t>
            </w:r>
            <w:r>
              <w:rPr>
                <w:rFonts w:hint="eastAsia" w:ascii="宋体" w:hAnsi="宋体" w:eastAsia="宋体"/>
                <w:sz w:val="18"/>
                <w:szCs w:val="18"/>
              </w:rPr>
              <w:t>0</w:t>
            </w:r>
            <w:r>
              <w:rPr>
                <w:rFonts w:ascii="宋体" w:hAnsi="宋体" w:eastAsia="宋体"/>
                <w:sz w:val="18"/>
                <w:szCs w:val="18"/>
              </w:rPr>
              <w:t>00</w:t>
            </w:r>
          </w:p>
        </w:tc>
        <w:tc>
          <w:tcPr>
            <w:tcW w:w="1116" w:type="dxa"/>
            <w:vAlign w:val="center"/>
          </w:tcPr>
          <w:p>
            <w:pPr>
              <w:ind w:right="-19" w:rightChars="-9"/>
              <w:jc w:val="center"/>
              <w:rPr>
                <w:rFonts w:hint="eastAsia" w:ascii="宋体" w:hAnsi="宋体" w:eastAsia="宋体"/>
                <w:sz w:val="18"/>
                <w:szCs w:val="18"/>
              </w:rPr>
            </w:pPr>
            <w:r>
              <w:rPr>
                <w:rFonts w:ascii="宋体" w:hAnsi="宋体" w:eastAsia="宋体"/>
                <w:sz w:val="18"/>
                <w:szCs w:val="18"/>
              </w:rPr>
              <w:t>202</w:t>
            </w:r>
            <w:r>
              <w:rPr>
                <w:rFonts w:hint="eastAsia" w:ascii="宋体" w:hAnsi="宋体" w:eastAsia="宋体"/>
                <w:sz w:val="18"/>
                <w:szCs w:val="18"/>
              </w:rPr>
              <w:t>6</w:t>
            </w:r>
            <w:r>
              <w:rPr>
                <w:rFonts w:ascii="宋体" w:hAnsi="宋体" w:eastAsia="宋体"/>
                <w:sz w:val="18"/>
                <w:szCs w:val="18"/>
              </w:rPr>
              <w:t>/</w:t>
            </w:r>
            <w:r>
              <w:rPr>
                <w:rFonts w:hint="eastAsia" w:ascii="宋体" w:hAnsi="宋体" w:eastAsia="宋体"/>
                <w:sz w:val="18"/>
                <w:szCs w:val="18"/>
              </w:rPr>
              <w:t>0</w:t>
            </w:r>
            <w:r>
              <w:rPr>
                <w:rFonts w:hint="eastAsia" w:ascii="宋体" w:hAnsi="宋体" w:eastAsia="宋体"/>
                <w:sz w:val="18"/>
                <w:szCs w:val="18"/>
                <w:lang w:val="en-US" w:eastAsia="zh-CN"/>
              </w:rPr>
              <w:t>3</w:t>
            </w:r>
            <w:r>
              <w:rPr>
                <w:rFonts w:ascii="宋体" w:hAnsi="宋体" w:eastAsia="宋体"/>
                <w:sz w:val="18"/>
                <w:szCs w:val="18"/>
              </w:rPr>
              <w:t>/</w:t>
            </w:r>
            <w:r>
              <w:rPr>
                <w:rFonts w:hint="eastAsia" w:ascii="宋体" w:hAnsi="宋体" w:eastAsia="宋体"/>
                <w:sz w:val="18"/>
                <w:szCs w:val="18"/>
                <w:lang w:val="en-US" w:eastAsia="zh-CN"/>
              </w:rPr>
              <w:t>1</w:t>
            </w:r>
            <w:r>
              <w:rPr>
                <w:rFonts w:hint="eastAsia" w:ascii="宋体" w:hAnsi="宋体" w:eastAsia="宋体"/>
                <w:sz w:val="18"/>
                <w:szCs w:val="18"/>
              </w:rPr>
              <w:t>8</w:t>
            </w:r>
          </w:p>
        </w:tc>
        <w:tc>
          <w:tcPr>
            <w:tcW w:w="1149"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rPr>
              <w:t>2</w:t>
            </w:r>
            <w:r>
              <w:rPr>
                <w:rFonts w:ascii="宋体" w:hAnsi="宋体" w:eastAsia="宋体"/>
                <w:sz w:val="18"/>
                <w:szCs w:val="18"/>
              </w:rPr>
              <w:t>02</w:t>
            </w:r>
            <w:r>
              <w:rPr>
                <w:rFonts w:hint="eastAsia" w:ascii="宋体" w:hAnsi="宋体" w:eastAsia="宋体"/>
                <w:sz w:val="18"/>
                <w:szCs w:val="18"/>
              </w:rPr>
              <w:t>6</w:t>
            </w:r>
            <w:r>
              <w:rPr>
                <w:rFonts w:ascii="宋体" w:hAnsi="宋体" w:eastAsia="宋体"/>
                <w:sz w:val="18"/>
                <w:szCs w:val="18"/>
              </w:rPr>
              <w:t>/</w:t>
            </w:r>
            <w:r>
              <w:rPr>
                <w:rFonts w:hint="eastAsia" w:ascii="宋体" w:hAnsi="宋体" w:eastAsia="宋体"/>
                <w:sz w:val="18"/>
                <w:szCs w:val="18"/>
              </w:rPr>
              <w:t>0</w:t>
            </w:r>
            <w:r>
              <w:rPr>
                <w:rFonts w:hint="eastAsia" w:ascii="宋体" w:hAnsi="宋体" w:eastAsia="宋体"/>
                <w:sz w:val="18"/>
                <w:szCs w:val="18"/>
                <w:lang w:val="en-US" w:eastAsia="zh-CN"/>
              </w:rPr>
              <w:t>6</w:t>
            </w:r>
            <w:r>
              <w:rPr>
                <w:rFonts w:ascii="宋体" w:hAnsi="宋体" w:eastAsia="宋体"/>
                <w:sz w:val="18"/>
                <w:szCs w:val="18"/>
              </w:rPr>
              <w:t>/</w:t>
            </w:r>
            <w:r>
              <w:rPr>
                <w:rFonts w:hint="eastAsia" w:ascii="宋体" w:hAnsi="宋体" w:eastAsia="宋体"/>
                <w:sz w:val="18"/>
                <w:szCs w:val="18"/>
                <w:lang w:val="en-US" w:eastAsia="zh-CN"/>
              </w:rPr>
              <w:t>1</w:t>
            </w:r>
            <w:r>
              <w:rPr>
                <w:rFonts w:hint="eastAsia" w:ascii="宋体" w:hAnsi="宋体" w:eastAsia="宋体"/>
                <w:sz w:val="18"/>
                <w:szCs w:val="18"/>
              </w:rPr>
              <w:t>8</w:t>
            </w:r>
          </w:p>
        </w:tc>
        <w:tc>
          <w:tcPr>
            <w:tcW w:w="607"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rPr>
              <w:t>保本浮动收益型</w:t>
            </w:r>
          </w:p>
        </w:tc>
        <w:tc>
          <w:tcPr>
            <w:tcW w:w="822" w:type="dxa"/>
            <w:vAlign w:val="center"/>
          </w:tcPr>
          <w:p>
            <w:pPr>
              <w:ind w:right="-19" w:rightChars="-9"/>
              <w:jc w:val="center"/>
              <w:rPr>
                <w:rFonts w:hint="eastAsia" w:ascii="宋体" w:hAnsi="宋体" w:eastAsia="宋体"/>
                <w:sz w:val="18"/>
                <w:szCs w:val="18"/>
              </w:rPr>
            </w:pPr>
            <w:r>
              <w:rPr>
                <w:rFonts w:ascii="宋体" w:hAnsi="宋体" w:eastAsia="宋体"/>
                <w:sz w:val="18"/>
                <w:szCs w:val="18"/>
              </w:rPr>
              <w:t>1.00%-2.</w:t>
            </w:r>
            <w:r>
              <w:rPr>
                <w:rFonts w:hint="eastAsia" w:ascii="宋体" w:hAnsi="宋体" w:eastAsia="宋体"/>
                <w:sz w:val="18"/>
                <w:szCs w:val="18"/>
                <w:lang w:val="en-US" w:eastAsia="zh-CN"/>
              </w:rPr>
              <w:t>2</w:t>
            </w:r>
            <w:r>
              <w:rPr>
                <w:rFonts w:ascii="宋体" w:hAnsi="宋体" w:eastAsia="宋体"/>
                <w:sz w:val="18"/>
                <w:szCs w:val="18"/>
              </w:rPr>
              <w:t>5%</w:t>
            </w:r>
          </w:p>
        </w:tc>
        <w:tc>
          <w:tcPr>
            <w:tcW w:w="607" w:type="dxa"/>
            <w:vAlign w:val="center"/>
          </w:tcPr>
          <w:p>
            <w:pPr>
              <w:ind w:right="-19" w:rightChars="-9"/>
              <w:jc w:val="center"/>
              <w:rPr>
                <w:rFonts w:hint="eastAsia" w:ascii="宋体" w:hAnsi="宋体" w:eastAsia="宋体"/>
                <w:sz w:val="18"/>
                <w:szCs w:val="18"/>
              </w:rPr>
            </w:pPr>
            <w:r>
              <w:rPr>
                <w:rFonts w:hint="eastAsia" w:ascii="宋体" w:hAnsi="宋体" w:eastAsia="宋体"/>
                <w:sz w:val="18"/>
                <w:szCs w:val="18"/>
              </w:rPr>
              <w:t>自有资金</w:t>
            </w:r>
          </w:p>
        </w:tc>
      </w:tr>
      <w:bookmarkEnd w:id="0"/>
    </w:tbl>
    <w:p>
      <w:pPr>
        <w:pStyle w:val="12"/>
        <w:numPr>
          <w:ilvl w:val="0"/>
          <w:numId w:val="1"/>
        </w:numPr>
        <w:spacing w:line="360" w:lineRule="auto"/>
        <w:ind w:left="0" w:firstLine="720" w:firstLineChars="0"/>
        <w:jc w:val="left"/>
        <w:outlineLvl w:val="0"/>
        <w:rPr>
          <w:rFonts w:hint="eastAsia" w:ascii="宋体" w:hAnsi="宋体" w:eastAsia="宋体"/>
          <w:b/>
          <w:sz w:val="24"/>
        </w:rPr>
      </w:pPr>
      <w:r>
        <w:rPr>
          <w:rFonts w:hint="eastAsia" w:ascii="宋体" w:hAnsi="宋体" w:eastAsia="宋体"/>
          <w:b/>
          <w:sz w:val="24"/>
        </w:rPr>
        <w:t>投资</w:t>
      </w:r>
      <w:r>
        <w:rPr>
          <w:rFonts w:ascii="宋体" w:hAnsi="宋体" w:eastAsia="宋体"/>
          <w:b/>
          <w:sz w:val="24"/>
        </w:rPr>
        <w:t>风险及风险控制措施</w:t>
      </w:r>
    </w:p>
    <w:p>
      <w:pPr>
        <w:spacing w:line="360" w:lineRule="auto"/>
        <w:ind w:firstLine="480" w:firstLineChars="200"/>
        <w:outlineLvl w:val="0"/>
        <w:rPr>
          <w:rFonts w:hint="eastAsia" w:ascii="宋体" w:hAnsi="宋体" w:eastAsia="宋体"/>
          <w:sz w:val="24"/>
        </w:rPr>
      </w:pPr>
      <w:r>
        <w:rPr>
          <w:rFonts w:hint="eastAsia" w:ascii="宋体" w:hAnsi="宋体" w:eastAsia="宋体"/>
          <w:sz w:val="24"/>
        </w:rPr>
        <w:t>（一）风险</w:t>
      </w:r>
      <w:r>
        <w:rPr>
          <w:rFonts w:ascii="宋体" w:hAnsi="宋体" w:eastAsia="宋体"/>
          <w:sz w:val="24"/>
        </w:rPr>
        <w:t>提示</w:t>
      </w:r>
    </w:p>
    <w:p>
      <w:pPr>
        <w:spacing w:line="360" w:lineRule="auto"/>
        <w:ind w:right="-19" w:rightChars="-9" w:firstLine="480" w:firstLineChars="200"/>
        <w:rPr>
          <w:rFonts w:hint="eastAsia" w:ascii="宋体" w:hAnsi="宋体" w:eastAsia="宋体"/>
          <w:sz w:val="24"/>
        </w:rPr>
      </w:pPr>
      <w:r>
        <w:rPr>
          <w:rFonts w:hint="eastAsia" w:ascii="宋体" w:hAnsi="宋体" w:eastAsia="宋体"/>
          <w:sz w:val="24"/>
        </w:rPr>
        <w:t>（1）公司本次使用闲置自有资金进行委托理财所涉及的投资产品为金融机构发行的风险可控的理财产品，收益情况由于受宏观经济的影响可能具有一定波动性。</w:t>
      </w:r>
    </w:p>
    <w:p>
      <w:pPr>
        <w:spacing w:line="360" w:lineRule="auto"/>
        <w:ind w:right="-19" w:rightChars="-9" w:firstLine="480" w:firstLineChars="200"/>
        <w:rPr>
          <w:rFonts w:hint="eastAsia" w:ascii="宋体" w:hAnsi="宋体" w:eastAsia="宋体"/>
          <w:sz w:val="24"/>
        </w:rPr>
      </w:pPr>
      <w:r>
        <w:rPr>
          <w:rFonts w:hint="eastAsia" w:ascii="宋体" w:hAnsi="宋体" w:eastAsia="宋体"/>
          <w:sz w:val="24"/>
        </w:rPr>
        <w:t>（2）理财产品发行人提示了产品</w:t>
      </w:r>
      <w:r>
        <w:rPr>
          <w:rFonts w:ascii="宋体" w:hAnsi="宋体" w:eastAsia="宋体"/>
          <w:sz w:val="24"/>
        </w:rPr>
        <w:t>包括但不限于</w:t>
      </w:r>
      <w:r>
        <w:rPr>
          <w:rFonts w:hint="eastAsia" w:ascii="宋体" w:hAnsi="宋体" w:eastAsia="宋体"/>
          <w:sz w:val="24"/>
        </w:rPr>
        <w:t>政策</w:t>
      </w:r>
      <w:r>
        <w:rPr>
          <w:rFonts w:ascii="宋体" w:hAnsi="宋体" w:eastAsia="宋体"/>
          <w:sz w:val="24"/>
        </w:rPr>
        <w:t>风险</w:t>
      </w:r>
      <w:r>
        <w:rPr>
          <w:rFonts w:hint="eastAsia" w:ascii="宋体" w:hAnsi="宋体" w:eastAsia="宋体"/>
          <w:sz w:val="24"/>
        </w:rPr>
        <w:t>、市场风险、延迟兑付风险、流动性</w:t>
      </w:r>
      <w:r>
        <w:rPr>
          <w:rFonts w:ascii="宋体" w:hAnsi="宋体" w:eastAsia="宋体"/>
          <w:sz w:val="24"/>
        </w:rPr>
        <w:t>风险</w:t>
      </w:r>
      <w:r>
        <w:rPr>
          <w:rFonts w:hint="eastAsia" w:ascii="宋体" w:hAnsi="宋体" w:eastAsia="宋体"/>
          <w:sz w:val="24"/>
        </w:rPr>
        <w:t>、再投资风险、募集失败风险、信息传递风险、不可抗力及意外事件风险</w:t>
      </w:r>
      <w:r>
        <w:rPr>
          <w:rFonts w:ascii="宋体" w:hAnsi="宋体" w:eastAsia="宋体"/>
          <w:sz w:val="24"/>
        </w:rPr>
        <w:t>等风险。</w:t>
      </w:r>
    </w:p>
    <w:p>
      <w:pPr>
        <w:spacing w:line="360" w:lineRule="auto"/>
        <w:ind w:firstLine="480" w:firstLineChars="200"/>
        <w:outlineLvl w:val="0"/>
        <w:rPr>
          <w:rFonts w:hint="eastAsia" w:ascii="宋体" w:hAnsi="宋体" w:eastAsia="宋体"/>
          <w:sz w:val="24"/>
        </w:rPr>
      </w:pPr>
      <w:r>
        <w:rPr>
          <w:rFonts w:hint="eastAsia" w:ascii="宋体" w:hAnsi="宋体" w:eastAsia="宋体"/>
          <w:sz w:val="24"/>
        </w:rPr>
        <w:t>（二）风险</w:t>
      </w:r>
      <w:r>
        <w:rPr>
          <w:rFonts w:ascii="宋体" w:hAnsi="宋体" w:eastAsia="宋体"/>
          <w:sz w:val="24"/>
        </w:rPr>
        <w:t>控制措施</w:t>
      </w:r>
    </w:p>
    <w:p>
      <w:pPr>
        <w:spacing w:line="360" w:lineRule="auto"/>
        <w:ind w:firstLine="480" w:firstLineChars="200"/>
        <w:rPr>
          <w:rFonts w:hint="eastAsia" w:ascii="宋体" w:hAnsi="宋体" w:eastAsia="宋体"/>
          <w:sz w:val="24"/>
        </w:rPr>
      </w:pPr>
      <w:r>
        <w:rPr>
          <w:rFonts w:hint="eastAsia" w:ascii="宋体" w:hAnsi="宋体" w:eastAsia="宋体"/>
          <w:sz w:val="24"/>
        </w:rPr>
        <w:t>（1）公司严格按照《深圳证券交易所股票上市规则》《深圳证券交易所上市公司自律监管指引第1号——主板上市公司规范运作》《深圳证券交易所上市公司自律监管指引第7号——交易与关联交易》等相关法律法规、规章制度，按照决策、执行、监督职能相分离的原则建立健全闲置委托理财的审批和执行程序，确保该业务的有效开展和规范运行。</w:t>
      </w:r>
    </w:p>
    <w:p>
      <w:pPr>
        <w:spacing w:line="360" w:lineRule="auto"/>
        <w:ind w:firstLine="480" w:firstLineChars="200"/>
        <w:rPr>
          <w:rFonts w:hint="eastAsia" w:ascii="宋体" w:hAnsi="宋体" w:eastAsia="宋体"/>
          <w:sz w:val="24"/>
        </w:rPr>
      </w:pPr>
      <w:r>
        <w:rPr>
          <w:rFonts w:hint="eastAsia" w:ascii="宋体" w:hAnsi="宋体" w:eastAsia="宋体"/>
          <w:sz w:val="24"/>
        </w:rPr>
        <w:t>（2）公司严格遵守审慎投资原则，选择稳健的投资品种。</w:t>
      </w:r>
    </w:p>
    <w:p>
      <w:pPr>
        <w:spacing w:line="360" w:lineRule="auto"/>
        <w:ind w:firstLine="480" w:firstLineChars="200"/>
        <w:rPr>
          <w:rFonts w:hint="eastAsia" w:ascii="宋体" w:hAnsi="宋体" w:eastAsia="宋体"/>
          <w:sz w:val="24"/>
        </w:rPr>
      </w:pPr>
      <w:r>
        <w:rPr>
          <w:rFonts w:hint="eastAsia" w:ascii="宋体" w:hAnsi="宋体" w:eastAsia="宋体"/>
          <w:sz w:val="24"/>
        </w:rPr>
        <w:t>（3）委托理财由公司财务部组织实施，财务部设立专人管理存续期的各种投资产品并跟踪相关业务的进展及安全状况，出现异常情况时将及时通报并采取相应的保全措施，最大限度地控制投资风险、保证资金的安全。</w:t>
      </w:r>
    </w:p>
    <w:p>
      <w:pPr>
        <w:spacing w:line="360" w:lineRule="auto"/>
        <w:ind w:firstLine="480" w:firstLineChars="200"/>
        <w:rPr>
          <w:rFonts w:hint="eastAsia" w:ascii="宋体" w:hAnsi="宋体" w:eastAsia="宋体"/>
          <w:sz w:val="24"/>
        </w:rPr>
      </w:pPr>
      <w:r>
        <w:rPr>
          <w:rFonts w:hint="eastAsia" w:ascii="宋体" w:hAnsi="宋体" w:eastAsia="宋体"/>
          <w:sz w:val="24"/>
        </w:rPr>
        <w:t>（4）公司内部审计部门负责对公司委托理财的资金使用与保管情况进行审计与监督，定期进行全面检查，并根据谨慎性原则，合理地预计各项投资可能发生的收益和损失，并向公司董事会审计委员会报告。</w:t>
      </w:r>
    </w:p>
    <w:p>
      <w:pPr>
        <w:spacing w:line="360" w:lineRule="auto"/>
        <w:ind w:firstLine="480" w:firstLineChars="200"/>
        <w:rPr>
          <w:rFonts w:hint="eastAsia" w:ascii="宋体" w:hAnsi="宋体" w:eastAsia="宋体"/>
          <w:sz w:val="24"/>
        </w:rPr>
      </w:pPr>
      <w:r>
        <w:rPr>
          <w:rFonts w:hint="eastAsia" w:ascii="宋体" w:hAnsi="宋体" w:eastAsia="宋体"/>
          <w:sz w:val="24"/>
        </w:rPr>
        <w:t>（5）公司独立董事有权对公司委托理财业务的实施进行检查和监督，确保业务的规范实施，必要时可以聘请专业机构进行审计。</w:t>
      </w:r>
    </w:p>
    <w:p>
      <w:pPr>
        <w:spacing w:line="360" w:lineRule="auto"/>
        <w:ind w:firstLine="480" w:firstLineChars="200"/>
        <w:rPr>
          <w:rFonts w:hint="eastAsia" w:ascii="宋体" w:hAnsi="宋体" w:eastAsia="宋体"/>
          <w:sz w:val="24"/>
        </w:rPr>
      </w:pPr>
      <w:r>
        <w:rPr>
          <w:rFonts w:hint="eastAsia" w:ascii="宋体" w:hAnsi="宋体" w:eastAsia="宋体"/>
          <w:sz w:val="24"/>
        </w:rPr>
        <w:t>（6）公司将依据深圳证券交易所的相关规定，及时履行信息披露义务。</w:t>
      </w:r>
    </w:p>
    <w:p>
      <w:pPr>
        <w:spacing w:line="360" w:lineRule="auto"/>
        <w:ind w:firstLine="480" w:firstLineChars="200"/>
        <w:rPr>
          <w:rFonts w:hint="eastAsia" w:ascii="宋体" w:hAnsi="宋体" w:eastAsia="宋体"/>
          <w:sz w:val="24"/>
        </w:rPr>
      </w:pPr>
      <w:r>
        <w:rPr>
          <w:rFonts w:hint="eastAsia" w:ascii="宋体" w:hAnsi="宋体" w:eastAsia="宋体"/>
          <w:sz w:val="24"/>
        </w:rPr>
        <w:t>（7）公司与受托商业银行、证券公司等金融机构之间无任何关联关系。</w:t>
      </w:r>
    </w:p>
    <w:p>
      <w:pPr>
        <w:pStyle w:val="12"/>
        <w:numPr>
          <w:ilvl w:val="0"/>
          <w:numId w:val="1"/>
        </w:numPr>
        <w:spacing w:line="360" w:lineRule="auto"/>
        <w:ind w:left="0" w:firstLine="720" w:firstLineChars="0"/>
        <w:jc w:val="left"/>
        <w:outlineLvl w:val="0"/>
        <w:rPr>
          <w:rFonts w:hint="eastAsia" w:ascii="宋体" w:hAnsi="宋体" w:eastAsia="宋体"/>
          <w:b/>
          <w:sz w:val="24"/>
        </w:rPr>
      </w:pPr>
      <w:r>
        <w:rPr>
          <w:rFonts w:hint="eastAsia" w:ascii="宋体" w:hAnsi="宋体" w:eastAsia="宋体"/>
          <w:b/>
          <w:sz w:val="24"/>
        </w:rPr>
        <w:t>对</w:t>
      </w:r>
      <w:r>
        <w:rPr>
          <w:rFonts w:ascii="宋体" w:hAnsi="宋体" w:eastAsia="宋体"/>
          <w:b/>
          <w:sz w:val="24"/>
        </w:rPr>
        <w:t>公司经</w:t>
      </w:r>
      <w:r>
        <w:rPr>
          <w:rFonts w:hint="eastAsia" w:ascii="宋体" w:hAnsi="宋体" w:eastAsia="宋体"/>
          <w:b/>
          <w:sz w:val="24"/>
        </w:rPr>
        <w:t>营</w:t>
      </w:r>
      <w:r>
        <w:rPr>
          <w:rFonts w:ascii="宋体" w:hAnsi="宋体" w:eastAsia="宋体"/>
          <w:b/>
          <w:sz w:val="24"/>
        </w:rPr>
        <w:t>的影响</w:t>
      </w:r>
    </w:p>
    <w:p>
      <w:pPr>
        <w:spacing w:line="360" w:lineRule="auto"/>
        <w:ind w:firstLine="480" w:firstLineChars="200"/>
        <w:rPr>
          <w:rFonts w:hint="eastAsia" w:ascii="宋体" w:hAnsi="宋体" w:eastAsia="宋体"/>
          <w:sz w:val="24"/>
        </w:rPr>
      </w:pPr>
      <w:r>
        <w:rPr>
          <w:rFonts w:hint="eastAsia" w:ascii="宋体" w:hAnsi="宋体" w:eastAsia="宋体"/>
          <w:sz w:val="24"/>
        </w:rPr>
        <w:t>公司本次运用闲置自有资金进行委托理财是在确保不影响公司正常经营的前提下实施的，不会影响公司主营业务的正常开展。适度的委托理财有利于提高公司闲置自有资金的使用效率，获得一定的投资收益，为公司和股东获取更多的投资回报。</w:t>
      </w:r>
    </w:p>
    <w:p>
      <w:pPr>
        <w:pStyle w:val="12"/>
        <w:numPr>
          <w:ilvl w:val="0"/>
          <w:numId w:val="1"/>
        </w:numPr>
        <w:spacing w:line="360" w:lineRule="auto"/>
        <w:ind w:left="0" w:firstLine="720" w:firstLineChars="0"/>
        <w:jc w:val="left"/>
        <w:outlineLvl w:val="0"/>
        <w:rPr>
          <w:rFonts w:hint="eastAsia" w:ascii="宋体" w:hAnsi="宋体" w:eastAsia="宋体"/>
          <w:b/>
          <w:sz w:val="24"/>
        </w:rPr>
      </w:pPr>
      <w:r>
        <w:rPr>
          <w:rFonts w:hint="eastAsia" w:ascii="宋体" w:hAnsi="宋体" w:eastAsia="宋体"/>
          <w:b/>
          <w:sz w:val="24"/>
        </w:rPr>
        <w:t>公告日前12个月内使用闲置自有资金、闲置募集资金进行委托理财的情况</w:t>
      </w:r>
    </w:p>
    <w:tbl>
      <w:tblPr>
        <w:tblStyle w:val="21"/>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713"/>
        <w:gridCol w:w="567"/>
        <w:gridCol w:w="1277"/>
        <w:gridCol w:w="970"/>
        <w:gridCol w:w="1135"/>
        <w:gridCol w:w="1135"/>
        <w:gridCol w:w="567"/>
        <w:gridCol w:w="732"/>
        <w:gridCol w:w="1125"/>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1"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序号</w:t>
            </w: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受托方名称</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是否关联交易</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产品名称</w:t>
            </w:r>
          </w:p>
        </w:tc>
        <w:tc>
          <w:tcPr>
            <w:tcW w:w="970"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投资金额（万元）</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起息日</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到期日</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是否赎回</w:t>
            </w:r>
          </w:p>
        </w:tc>
        <w:tc>
          <w:tcPr>
            <w:tcW w:w="732"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产品类型</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预计年化收益率</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投资收益</w:t>
            </w:r>
          </w:p>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（元）</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1</w:t>
            </w: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宁波银行股份有限公司</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否</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单位结构性存款 7202502462</w:t>
            </w:r>
          </w:p>
        </w:tc>
        <w:tc>
          <w:tcPr>
            <w:tcW w:w="970"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5,000</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2025/05/21</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2025/09/02</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是</w:t>
            </w:r>
          </w:p>
        </w:tc>
        <w:tc>
          <w:tcPr>
            <w:tcW w:w="732"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保本浮动收益型</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ascii="宋体" w:hAnsi="宋体" w:eastAsia="宋体" w:cs="Times New Roman"/>
                <w:kern w:val="0"/>
                <w:sz w:val="18"/>
                <w:szCs w:val="18"/>
              </w:rPr>
              <w:t>1.00%-2.30%</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327,671.23</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2</w:t>
            </w: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宁波银行股份有限公司</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否</w:t>
            </w:r>
          </w:p>
        </w:tc>
        <w:tc>
          <w:tcPr>
            <w:tcW w:w="1277" w:type="dxa"/>
            <w:tcBorders>
              <w:top w:val="single" w:color="auto" w:sz="4" w:space="0"/>
              <w:left w:val="single" w:color="auto" w:sz="4" w:space="0"/>
              <w:bottom w:val="single" w:color="auto" w:sz="4" w:space="0"/>
              <w:right w:val="single" w:color="auto" w:sz="4" w:space="0"/>
            </w:tcBorders>
            <w:vAlign w:val="center"/>
          </w:tcPr>
          <w:p>
            <w:pPr>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单位结构性存款</w:t>
            </w:r>
          </w:p>
          <w:p>
            <w:pPr>
              <w:spacing w:line="360" w:lineRule="auto"/>
              <w:jc w:val="center"/>
              <w:rPr>
                <w:rFonts w:hint="eastAsia" w:ascii="宋体" w:hAnsi="宋体" w:eastAsia="宋体" w:cs="Times New Roman"/>
                <w:kern w:val="0"/>
                <w:sz w:val="18"/>
                <w:szCs w:val="18"/>
              </w:rPr>
            </w:pPr>
            <w:r>
              <w:rPr>
                <w:rFonts w:ascii="宋体" w:hAnsi="宋体" w:eastAsia="宋体" w:cs="Times New Roman"/>
                <w:kern w:val="0"/>
                <w:sz w:val="18"/>
                <w:szCs w:val="18"/>
              </w:rPr>
              <w:t>7202503164</w:t>
            </w:r>
          </w:p>
        </w:tc>
        <w:tc>
          <w:tcPr>
            <w:tcW w:w="970"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3</w:t>
            </w:r>
            <w:r>
              <w:rPr>
                <w:rFonts w:ascii="宋体" w:hAnsi="宋体" w:eastAsia="宋体" w:cs="Times New Roman"/>
                <w:kern w:val="0"/>
                <w:sz w:val="18"/>
                <w:szCs w:val="18"/>
              </w:rPr>
              <w:t>,000</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ascii="宋体" w:hAnsi="宋体" w:eastAsia="宋体" w:cs="Times New Roman"/>
                <w:kern w:val="0"/>
                <w:sz w:val="18"/>
                <w:szCs w:val="18"/>
              </w:rPr>
              <w:t>202</w:t>
            </w:r>
            <w:r>
              <w:rPr>
                <w:rFonts w:hint="eastAsia" w:ascii="宋体" w:hAnsi="宋体" w:eastAsia="宋体" w:cs="Times New Roman"/>
                <w:kern w:val="0"/>
                <w:sz w:val="18"/>
                <w:szCs w:val="18"/>
              </w:rPr>
              <w:t>5</w:t>
            </w:r>
            <w:r>
              <w:rPr>
                <w:rFonts w:ascii="宋体" w:hAnsi="宋体" w:eastAsia="宋体" w:cs="Times New Roman"/>
                <w:kern w:val="0"/>
                <w:sz w:val="18"/>
                <w:szCs w:val="18"/>
              </w:rPr>
              <w:t>/0</w:t>
            </w:r>
            <w:r>
              <w:rPr>
                <w:rFonts w:hint="eastAsia" w:ascii="宋体" w:hAnsi="宋体" w:eastAsia="宋体" w:cs="Times New Roman"/>
                <w:kern w:val="0"/>
                <w:sz w:val="18"/>
                <w:szCs w:val="18"/>
              </w:rPr>
              <w:t>7</w:t>
            </w:r>
            <w:r>
              <w:rPr>
                <w:rFonts w:ascii="宋体" w:hAnsi="宋体" w:eastAsia="宋体" w:cs="Times New Roman"/>
                <w:kern w:val="0"/>
                <w:sz w:val="18"/>
                <w:szCs w:val="18"/>
              </w:rPr>
              <w:t>/</w:t>
            </w:r>
            <w:r>
              <w:rPr>
                <w:rFonts w:hint="eastAsia" w:ascii="宋体" w:hAnsi="宋体" w:eastAsia="宋体" w:cs="Times New Roman"/>
                <w:kern w:val="0"/>
                <w:sz w:val="18"/>
                <w:szCs w:val="18"/>
              </w:rPr>
              <w:t>10</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2</w:t>
            </w:r>
            <w:r>
              <w:rPr>
                <w:rFonts w:ascii="宋体" w:hAnsi="宋体" w:eastAsia="宋体" w:cs="Times New Roman"/>
                <w:kern w:val="0"/>
                <w:sz w:val="18"/>
                <w:szCs w:val="18"/>
              </w:rPr>
              <w:t>02</w:t>
            </w:r>
            <w:r>
              <w:rPr>
                <w:rFonts w:hint="eastAsia" w:ascii="宋体" w:hAnsi="宋体" w:eastAsia="宋体" w:cs="Times New Roman"/>
                <w:kern w:val="0"/>
                <w:sz w:val="18"/>
                <w:szCs w:val="18"/>
              </w:rPr>
              <w:t>5</w:t>
            </w:r>
            <w:r>
              <w:rPr>
                <w:rFonts w:ascii="宋体" w:hAnsi="宋体" w:eastAsia="宋体" w:cs="Times New Roman"/>
                <w:kern w:val="0"/>
                <w:sz w:val="18"/>
                <w:szCs w:val="18"/>
              </w:rPr>
              <w:t>/</w:t>
            </w:r>
            <w:r>
              <w:rPr>
                <w:rFonts w:hint="eastAsia" w:ascii="宋体" w:hAnsi="宋体" w:eastAsia="宋体" w:cs="Times New Roman"/>
                <w:kern w:val="0"/>
                <w:sz w:val="18"/>
                <w:szCs w:val="18"/>
              </w:rPr>
              <w:t>12</w:t>
            </w:r>
            <w:r>
              <w:rPr>
                <w:rFonts w:ascii="宋体" w:hAnsi="宋体" w:eastAsia="宋体" w:cs="Times New Roman"/>
                <w:kern w:val="0"/>
                <w:sz w:val="18"/>
                <w:szCs w:val="18"/>
              </w:rPr>
              <w:t>/</w:t>
            </w:r>
            <w:r>
              <w:rPr>
                <w:rFonts w:hint="eastAsia" w:ascii="宋体" w:hAnsi="宋体" w:eastAsia="宋体" w:cs="Times New Roman"/>
                <w:kern w:val="0"/>
                <w:sz w:val="18"/>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是</w:t>
            </w:r>
          </w:p>
        </w:tc>
        <w:tc>
          <w:tcPr>
            <w:tcW w:w="732"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保本浮动收益型</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ascii="宋体" w:hAnsi="宋体" w:eastAsia="宋体" w:cs="Times New Roman"/>
                <w:kern w:val="0"/>
                <w:sz w:val="18"/>
                <w:szCs w:val="18"/>
              </w:rPr>
              <w:t>1.00%-2.30%</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288,246.58</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3</w:t>
            </w:r>
          </w:p>
        </w:tc>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宁波银行股份有限公司</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否</w:t>
            </w:r>
          </w:p>
        </w:tc>
        <w:tc>
          <w:tcPr>
            <w:tcW w:w="1277" w:type="dxa"/>
            <w:tcBorders>
              <w:top w:val="single" w:color="auto" w:sz="4" w:space="0"/>
              <w:left w:val="single" w:color="auto" w:sz="4" w:space="0"/>
              <w:bottom w:val="single" w:color="auto" w:sz="4" w:space="0"/>
              <w:right w:val="single" w:color="auto" w:sz="4" w:space="0"/>
            </w:tcBorders>
            <w:vAlign w:val="center"/>
          </w:tcPr>
          <w:p>
            <w:pPr>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单位结构性存款</w:t>
            </w:r>
          </w:p>
          <w:p>
            <w:pPr>
              <w:ind w:right="-19" w:rightChars="-9"/>
              <w:jc w:val="center"/>
              <w:rPr>
                <w:rFonts w:hint="eastAsia" w:ascii="宋体" w:hAnsi="宋体" w:eastAsia="宋体" w:cs="Times New Roman"/>
                <w:kern w:val="0"/>
                <w:sz w:val="18"/>
                <w:szCs w:val="18"/>
              </w:rPr>
            </w:pPr>
            <w:r>
              <w:rPr>
                <w:rFonts w:ascii="宋体" w:hAnsi="宋体" w:eastAsia="宋体" w:cs="Times New Roman"/>
                <w:kern w:val="0"/>
                <w:sz w:val="18"/>
                <w:szCs w:val="18"/>
              </w:rPr>
              <w:t>7202503953</w:t>
            </w:r>
          </w:p>
        </w:tc>
        <w:tc>
          <w:tcPr>
            <w:tcW w:w="970"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1,800</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ascii="宋体" w:hAnsi="宋体" w:eastAsia="宋体" w:cs="Times New Roman"/>
                <w:kern w:val="0"/>
                <w:sz w:val="18"/>
                <w:szCs w:val="18"/>
              </w:rPr>
              <w:t>202</w:t>
            </w:r>
            <w:r>
              <w:rPr>
                <w:rFonts w:hint="eastAsia" w:ascii="宋体" w:hAnsi="宋体" w:eastAsia="宋体" w:cs="Times New Roman"/>
                <w:kern w:val="0"/>
                <w:sz w:val="18"/>
                <w:szCs w:val="18"/>
              </w:rPr>
              <w:t>5</w:t>
            </w:r>
            <w:r>
              <w:rPr>
                <w:rFonts w:ascii="宋体" w:hAnsi="宋体" w:eastAsia="宋体" w:cs="Times New Roman"/>
                <w:kern w:val="0"/>
                <w:sz w:val="18"/>
                <w:szCs w:val="18"/>
              </w:rPr>
              <w:t>/0</w:t>
            </w:r>
            <w:r>
              <w:rPr>
                <w:rFonts w:hint="eastAsia" w:ascii="宋体" w:hAnsi="宋体" w:eastAsia="宋体" w:cs="Times New Roman"/>
                <w:kern w:val="0"/>
                <w:sz w:val="18"/>
                <w:szCs w:val="18"/>
              </w:rPr>
              <w:t>9</w:t>
            </w:r>
            <w:r>
              <w:rPr>
                <w:rFonts w:ascii="宋体" w:hAnsi="宋体" w:eastAsia="宋体" w:cs="Times New Roman"/>
                <w:kern w:val="0"/>
                <w:sz w:val="18"/>
                <w:szCs w:val="18"/>
              </w:rPr>
              <w:t>/</w:t>
            </w:r>
            <w:r>
              <w:rPr>
                <w:rFonts w:hint="eastAsia" w:ascii="宋体" w:hAnsi="宋体" w:eastAsia="宋体" w:cs="Times New Roman"/>
                <w:kern w:val="0"/>
                <w:sz w:val="18"/>
                <w:szCs w:val="18"/>
              </w:rPr>
              <w:t>24</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2</w:t>
            </w:r>
            <w:r>
              <w:rPr>
                <w:rFonts w:ascii="宋体" w:hAnsi="宋体" w:eastAsia="宋体" w:cs="Times New Roman"/>
                <w:kern w:val="0"/>
                <w:sz w:val="18"/>
                <w:szCs w:val="18"/>
              </w:rPr>
              <w:t>02</w:t>
            </w:r>
            <w:r>
              <w:rPr>
                <w:rFonts w:hint="eastAsia" w:ascii="宋体" w:hAnsi="宋体" w:eastAsia="宋体" w:cs="Times New Roman"/>
                <w:kern w:val="0"/>
                <w:sz w:val="18"/>
                <w:szCs w:val="18"/>
              </w:rPr>
              <w:t>5</w:t>
            </w:r>
            <w:r>
              <w:rPr>
                <w:rFonts w:ascii="宋体" w:hAnsi="宋体" w:eastAsia="宋体" w:cs="Times New Roman"/>
                <w:kern w:val="0"/>
                <w:sz w:val="18"/>
                <w:szCs w:val="18"/>
              </w:rPr>
              <w:t>/</w:t>
            </w:r>
            <w:r>
              <w:rPr>
                <w:rFonts w:hint="eastAsia" w:ascii="宋体" w:hAnsi="宋体" w:eastAsia="宋体" w:cs="Times New Roman"/>
                <w:kern w:val="0"/>
                <w:sz w:val="18"/>
                <w:szCs w:val="18"/>
              </w:rPr>
              <w:t>12</w:t>
            </w:r>
            <w:r>
              <w:rPr>
                <w:rFonts w:ascii="宋体" w:hAnsi="宋体" w:eastAsia="宋体" w:cs="Times New Roman"/>
                <w:kern w:val="0"/>
                <w:sz w:val="18"/>
                <w:szCs w:val="18"/>
              </w:rPr>
              <w:t>/</w:t>
            </w:r>
            <w:r>
              <w:rPr>
                <w:rFonts w:hint="eastAsia" w:ascii="宋体" w:hAnsi="宋体" w:eastAsia="宋体" w:cs="Times New Roman"/>
                <w:kern w:val="0"/>
                <w:sz w:val="18"/>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是</w:t>
            </w:r>
          </w:p>
        </w:tc>
        <w:tc>
          <w:tcPr>
            <w:tcW w:w="732"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保本浮动收益型</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ascii="宋体" w:hAnsi="宋体" w:eastAsia="宋体" w:cs="Times New Roman"/>
                <w:kern w:val="0"/>
                <w:sz w:val="18"/>
                <w:szCs w:val="18"/>
              </w:rPr>
              <w:t>1.00%-2.</w:t>
            </w:r>
            <w:r>
              <w:rPr>
                <w:rFonts w:hint="eastAsia" w:ascii="宋体" w:hAnsi="宋体" w:eastAsia="宋体" w:cs="Times New Roman"/>
                <w:kern w:val="0"/>
                <w:sz w:val="18"/>
                <w:szCs w:val="18"/>
              </w:rPr>
              <w:t>1</w:t>
            </w:r>
            <w:r>
              <w:rPr>
                <w:rFonts w:ascii="宋体" w:hAnsi="宋体" w:eastAsia="宋体" w:cs="Times New Roman"/>
                <w:kern w:val="0"/>
                <w:sz w:val="18"/>
                <w:szCs w:val="18"/>
              </w:rPr>
              <w:t>0%</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94,241.10</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4</w:t>
            </w:r>
          </w:p>
        </w:tc>
        <w:tc>
          <w:tcPr>
            <w:tcW w:w="713" w:type="dxa"/>
            <w:tcBorders>
              <w:top w:val="single" w:color="auto" w:sz="4" w:space="0"/>
              <w:left w:val="single" w:color="auto" w:sz="4" w:space="0"/>
              <w:bottom w:val="single" w:color="auto" w:sz="4" w:space="0"/>
              <w:right w:val="single" w:color="auto" w:sz="4" w:space="0"/>
            </w:tcBorders>
          </w:tcPr>
          <w:p>
            <w:pPr>
              <w:spacing w:line="360" w:lineRule="auto"/>
              <w:ind w:right="-19" w:rightChars="-9"/>
              <w:jc w:val="center"/>
              <w:rPr>
                <w:rFonts w:hint="eastAsia" w:ascii="宋体" w:hAnsi="宋体" w:eastAsia="宋体" w:cs="Times New Roman"/>
                <w:kern w:val="0"/>
                <w:sz w:val="18"/>
                <w:szCs w:val="18"/>
              </w:rPr>
            </w:pPr>
            <w:r>
              <w:rPr>
                <w:rFonts w:hint="eastAsia" w:ascii="Times New Roman" w:hAnsi="Times New Roman" w:eastAsia="宋体" w:cs="Times New Roman"/>
                <w:kern w:val="0"/>
                <w:sz w:val="20"/>
                <w:szCs w:val="20"/>
              </w:rPr>
              <w:t>宁波银行股份有限公司</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否</w:t>
            </w:r>
          </w:p>
        </w:tc>
        <w:tc>
          <w:tcPr>
            <w:tcW w:w="1277" w:type="dxa"/>
            <w:tcBorders>
              <w:top w:val="single" w:color="auto" w:sz="4" w:space="0"/>
              <w:left w:val="single" w:color="auto" w:sz="4" w:space="0"/>
              <w:bottom w:val="single" w:color="auto" w:sz="4" w:space="0"/>
              <w:right w:val="single" w:color="auto" w:sz="4" w:space="0"/>
            </w:tcBorders>
            <w:vAlign w:val="center"/>
          </w:tcPr>
          <w:p>
            <w:pPr>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单位结构性存款</w:t>
            </w:r>
          </w:p>
          <w:p>
            <w:pPr>
              <w:ind w:right="-19" w:rightChars="-9"/>
              <w:jc w:val="center"/>
              <w:rPr>
                <w:rFonts w:hint="eastAsia" w:ascii="宋体" w:hAnsi="宋体" w:eastAsia="宋体" w:cs="Times New Roman"/>
                <w:kern w:val="0"/>
                <w:sz w:val="18"/>
                <w:szCs w:val="18"/>
              </w:rPr>
            </w:pPr>
            <w:r>
              <w:rPr>
                <w:rFonts w:ascii="宋体" w:hAnsi="宋体" w:eastAsia="宋体" w:cs="Times New Roman"/>
                <w:kern w:val="0"/>
                <w:sz w:val="18"/>
                <w:szCs w:val="18"/>
              </w:rPr>
              <w:t>7202601060</w:t>
            </w:r>
          </w:p>
        </w:tc>
        <w:tc>
          <w:tcPr>
            <w:tcW w:w="970"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ascii="宋体" w:hAnsi="宋体" w:eastAsia="宋体" w:cs="Times New Roman"/>
                <w:kern w:val="0"/>
                <w:sz w:val="18"/>
                <w:szCs w:val="18"/>
              </w:rPr>
              <w:t>4,000</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ascii="宋体" w:hAnsi="宋体" w:eastAsia="宋体" w:cs="Times New Roman"/>
                <w:kern w:val="0"/>
                <w:sz w:val="18"/>
                <w:szCs w:val="18"/>
              </w:rPr>
              <w:t>2026/</w:t>
            </w:r>
            <w:r>
              <w:rPr>
                <w:rFonts w:hint="eastAsia" w:ascii="宋体" w:hAnsi="宋体" w:eastAsia="宋体" w:cs="Times New Roman"/>
                <w:kern w:val="0"/>
                <w:sz w:val="18"/>
                <w:szCs w:val="18"/>
              </w:rPr>
              <w:t>0</w:t>
            </w:r>
            <w:r>
              <w:rPr>
                <w:rFonts w:ascii="宋体" w:hAnsi="宋体" w:eastAsia="宋体" w:cs="Times New Roman"/>
                <w:kern w:val="0"/>
                <w:sz w:val="18"/>
                <w:szCs w:val="18"/>
              </w:rPr>
              <w:t>1/</w:t>
            </w:r>
            <w:r>
              <w:rPr>
                <w:rFonts w:hint="eastAsia" w:ascii="宋体" w:hAnsi="宋体" w:eastAsia="宋体" w:cs="Times New Roman"/>
                <w:kern w:val="0"/>
                <w:sz w:val="18"/>
                <w:szCs w:val="18"/>
              </w:rPr>
              <w:t>0</w:t>
            </w:r>
            <w:r>
              <w:rPr>
                <w:rFonts w:ascii="宋体" w:hAnsi="宋体" w:eastAsia="宋体" w:cs="Times New Roman"/>
                <w:kern w:val="0"/>
                <w:sz w:val="18"/>
                <w:szCs w:val="18"/>
              </w:rPr>
              <w:t>8</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ascii="宋体" w:hAnsi="宋体" w:eastAsia="宋体" w:cs="Times New Roman"/>
                <w:kern w:val="0"/>
                <w:sz w:val="18"/>
                <w:szCs w:val="18"/>
              </w:rPr>
              <w:t>2026/</w:t>
            </w:r>
            <w:r>
              <w:rPr>
                <w:rFonts w:hint="eastAsia" w:ascii="宋体" w:hAnsi="宋体" w:eastAsia="宋体" w:cs="Times New Roman"/>
                <w:kern w:val="0"/>
                <w:sz w:val="18"/>
                <w:szCs w:val="18"/>
              </w:rPr>
              <w:t>0</w:t>
            </w:r>
            <w:r>
              <w:rPr>
                <w:rFonts w:ascii="宋体" w:hAnsi="宋体" w:eastAsia="宋体" w:cs="Times New Roman"/>
                <w:kern w:val="0"/>
                <w:sz w:val="18"/>
                <w:szCs w:val="18"/>
              </w:rPr>
              <w:t>7/</w:t>
            </w:r>
            <w:r>
              <w:rPr>
                <w:rFonts w:hint="eastAsia" w:ascii="宋体" w:hAnsi="宋体" w:eastAsia="宋体" w:cs="Times New Roman"/>
                <w:kern w:val="0"/>
                <w:sz w:val="18"/>
                <w:szCs w:val="18"/>
              </w:rPr>
              <w:t>08</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否</w:t>
            </w:r>
          </w:p>
        </w:tc>
        <w:tc>
          <w:tcPr>
            <w:tcW w:w="732"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保本浮动收益型</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ascii="宋体" w:hAnsi="宋体" w:eastAsia="宋体" w:cs="Times New Roman"/>
                <w:kern w:val="0"/>
                <w:sz w:val="18"/>
                <w:szCs w:val="18"/>
              </w:rPr>
              <w:t>1.00%-2.05%</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Times New Roman" w:hAnsi="Times New Roman" w:eastAsia="宋体" w:cs="Times New Roman"/>
                <w:kern w:val="0"/>
                <w:sz w:val="20"/>
                <w:szCs w:val="20"/>
              </w:rPr>
              <w:t>-</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center"/>
              <w:rPr>
                <w:rFonts w:hint="eastAsia" w:ascii="宋体" w:hAnsi="宋体" w:eastAsia="宋体" w:cs="Times New Roman"/>
                <w:kern w:val="0"/>
                <w:sz w:val="18"/>
                <w:szCs w:val="18"/>
              </w:rPr>
            </w:pPr>
            <w:r>
              <w:rPr>
                <w:rFonts w:hint="eastAsia" w:ascii="Times New Roman" w:hAnsi="Times New Roman" w:eastAsia="宋体" w:cs="Times New Roman"/>
                <w:kern w:val="0"/>
                <w:sz w:val="20"/>
                <w:szCs w:val="20"/>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spacing w:line="360" w:lineRule="auto"/>
              <w:ind w:right="-19" w:rightChars="-9"/>
              <w:jc w:val="both"/>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 xml:space="preserve"> 5</w:t>
            </w:r>
          </w:p>
        </w:tc>
        <w:tc>
          <w:tcPr>
            <w:tcW w:w="713" w:type="dxa"/>
            <w:tcBorders>
              <w:top w:val="single" w:color="auto" w:sz="4" w:space="0"/>
              <w:left w:val="single" w:color="auto" w:sz="4" w:space="0"/>
              <w:bottom w:val="single" w:color="auto" w:sz="4" w:space="0"/>
              <w:right w:val="single" w:color="auto" w:sz="4" w:space="0"/>
            </w:tcBorders>
            <w:vAlign w:val="center"/>
          </w:tcPr>
          <w:p>
            <w:pPr>
              <w:ind w:right="-19" w:rightChars="-9"/>
              <w:jc w:val="center"/>
              <w:rPr>
                <w:rFonts w:hint="eastAsia" w:ascii="Times New Roman" w:hAnsi="Times New Roman" w:eastAsia="宋体" w:cs="Times New Roman"/>
                <w:kern w:val="0"/>
                <w:sz w:val="20"/>
                <w:szCs w:val="20"/>
              </w:rPr>
            </w:pPr>
            <w:r>
              <w:rPr>
                <w:rFonts w:hint="eastAsia" w:ascii="宋体" w:hAnsi="宋体" w:eastAsia="宋体"/>
                <w:sz w:val="18"/>
                <w:szCs w:val="18"/>
              </w:rPr>
              <w:t>宁波银行股份有限公司</w:t>
            </w:r>
          </w:p>
        </w:tc>
        <w:tc>
          <w:tcPr>
            <w:tcW w:w="567" w:type="dxa"/>
            <w:tcBorders>
              <w:top w:val="single" w:color="auto" w:sz="4" w:space="0"/>
              <w:left w:val="single" w:color="auto" w:sz="4" w:space="0"/>
              <w:bottom w:val="single" w:color="auto" w:sz="4" w:space="0"/>
              <w:right w:val="single" w:color="auto" w:sz="4" w:space="0"/>
            </w:tcBorders>
            <w:vAlign w:val="center"/>
          </w:tcPr>
          <w:p>
            <w:pPr>
              <w:ind w:right="-19" w:rightChars="-9"/>
              <w:jc w:val="center"/>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否</w:t>
            </w:r>
          </w:p>
        </w:tc>
        <w:tc>
          <w:tcPr>
            <w:tcW w:w="1277" w:type="dxa"/>
            <w:tcBorders>
              <w:top w:val="single" w:color="auto" w:sz="4" w:space="0"/>
              <w:left w:val="single" w:color="auto" w:sz="4" w:space="0"/>
              <w:bottom w:val="single" w:color="auto" w:sz="4" w:space="0"/>
              <w:right w:val="single" w:color="auto" w:sz="4" w:space="0"/>
            </w:tcBorders>
            <w:vAlign w:val="center"/>
          </w:tcPr>
          <w:p>
            <w:pPr>
              <w:ind w:right="-19" w:rightChars="-9"/>
              <w:jc w:val="center"/>
              <w:rPr>
                <w:rFonts w:hint="eastAsia" w:ascii="宋体" w:hAnsi="宋体" w:eastAsia="宋体"/>
                <w:sz w:val="18"/>
                <w:szCs w:val="18"/>
              </w:rPr>
            </w:pPr>
            <w:r>
              <w:rPr>
                <w:rFonts w:hint="eastAsia" w:ascii="宋体" w:hAnsi="宋体" w:eastAsia="宋体"/>
                <w:sz w:val="18"/>
                <w:szCs w:val="18"/>
                <w:lang w:val="en-US" w:eastAsia="zh-CN"/>
              </w:rPr>
              <w:t>单位结构性存款 7202601755</w:t>
            </w:r>
          </w:p>
          <w:p>
            <w:pPr>
              <w:ind w:right="-19" w:rightChars="-9"/>
              <w:jc w:val="center"/>
              <w:rPr>
                <w:rFonts w:ascii="宋体" w:hAnsi="宋体" w:eastAsia="宋体" w:cs="Times New Roman"/>
                <w:kern w:val="0"/>
                <w:sz w:val="18"/>
                <w:szCs w:val="18"/>
              </w:rPr>
            </w:pPr>
          </w:p>
        </w:tc>
        <w:tc>
          <w:tcPr>
            <w:tcW w:w="970" w:type="dxa"/>
            <w:tcBorders>
              <w:top w:val="single" w:color="auto" w:sz="4" w:space="0"/>
              <w:left w:val="single" w:color="auto" w:sz="4" w:space="0"/>
              <w:bottom w:val="single" w:color="auto" w:sz="4" w:space="0"/>
              <w:right w:val="single" w:color="auto" w:sz="4" w:space="0"/>
            </w:tcBorders>
            <w:vAlign w:val="center"/>
          </w:tcPr>
          <w:p>
            <w:pPr>
              <w:ind w:right="-19" w:rightChars="-9"/>
              <w:jc w:val="center"/>
              <w:rPr>
                <w:rFonts w:ascii="宋体" w:hAnsi="宋体" w:eastAsia="宋体" w:cs="Times New Roman"/>
                <w:kern w:val="0"/>
                <w:sz w:val="18"/>
                <w:szCs w:val="18"/>
              </w:rPr>
            </w:pPr>
            <w:r>
              <w:rPr>
                <w:rFonts w:hint="eastAsia" w:ascii="宋体" w:hAnsi="宋体" w:eastAsia="宋体"/>
                <w:sz w:val="18"/>
                <w:szCs w:val="18"/>
                <w:lang w:val="en-US" w:eastAsia="zh-CN"/>
              </w:rPr>
              <w:t>3</w:t>
            </w:r>
            <w:r>
              <w:rPr>
                <w:rFonts w:ascii="宋体" w:hAnsi="宋体" w:eastAsia="宋体"/>
                <w:sz w:val="18"/>
                <w:szCs w:val="18"/>
              </w:rPr>
              <w:t>,</w:t>
            </w:r>
            <w:r>
              <w:rPr>
                <w:rFonts w:hint="eastAsia" w:ascii="宋体" w:hAnsi="宋体" w:eastAsia="宋体"/>
                <w:sz w:val="18"/>
                <w:szCs w:val="18"/>
              </w:rPr>
              <w:t>0</w:t>
            </w:r>
            <w:r>
              <w:rPr>
                <w:rFonts w:ascii="宋体" w:hAnsi="宋体" w:eastAsia="宋体"/>
                <w:sz w:val="18"/>
                <w:szCs w:val="18"/>
              </w:rPr>
              <w:t>00</w:t>
            </w:r>
          </w:p>
        </w:tc>
        <w:tc>
          <w:tcPr>
            <w:tcW w:w="1135" w:type="dxa"/>
            <w:tcBorders>
              <w:top w:val="single" w:color="auto" w:sz="4" w:space="0"/>
              <w:left w:val="single" w:color="auto" w:sz="4" w:space="0"/>
              <w:bottom w:val="single" w:color="auto" w:sz="4" w:space="0"/>
              <w:right w:val="single" w:color="auto" w:sz="4" w:space="0"/>
            </w:tcBorders>
            <w:vAlign w:val="center"/>
          </w:tcPr>
          <w:p>
            <w:pPr>
              <w:ind w:right="-19" w:rightChars="-9"/>
              <w:jc w:val="center"/>
              <w:rPr>
                <w:rFonts w:ascii="宋体" w:hAnsi="宋体" w:eastAsia="宋体" w:cs="Times New Roman"/>
                <w:kern w:val="0"/>
                <w:sz w:val="18"/>
                <w:szCs w:val="18"/>
              </w:rPr>
            </w:pPr>
            <w:r>
              <w:rPr>
                <w:rFonts w:ascii="宋体" w:hAnsi="宋体" w:eastAsia="宋体"/>
                <w:sz w:val="18"/>
                <w:szCs w:val="18"/>
              </w:rPr>
              <w:t>202</w:t>
            </w:r>
            <w:r>
              <w:rPr>
                <w:rFonts w:hint="eastAsia" w:ascii="宋体" w:hAnsi="宋体" w:eastAsia="宋体"/>
                <w:sz w:val="18"/>
                <w:szCs w:val="18"/>
              </w:rPr>
              <w:t>6</w:t>
            </w:r>
            <w:r>
              <w:rPr>
                <w:rFonts w:ascii="宋体" w:hAnsi="宋体" w:eastAsia="宋体"/>
                <w:sz w:val="18"/>
                <w:szCs w:val="18"/>
              </w:rPr>
              <w:t>/</w:t>
            </w:r>
            <w:r>
              <w:rPr>
                <w:rFonts w:hint="eastAsia" w:ascii="宋体" w:hAnsi="宋体" w:eastAsia="宋体"/>
                <w:sz w:val="18"/>
                <w:szCs w:val="18"/>
              </w:rPr>
              <w:t>0</w:t>
            </w:r>
            <w:r>
              <w:rPr>
                <w:rFonts w:hint="eastAsia" w:ascii="宋体" w:hAnsi="宋体" w:eastAsia="宋体"/>
                <w:sz w:val="18"/>
                <w:szCs w:val="18"/>
                <w:lang w:val="en-US" w:eastAsia="zh-CN"/>
              </w:rPr>
              <w:t>3</w:t>
            </w:r>
            <w:r>
              <w:rPr>
                <w:rFonts w:ascii="宋体" w:hAnsi="宋体" w:eastAsia="宋体"/>
                <w:sz w:val="18"/>
                <w:szCs w:val="18"/>
              </w:rPr>
              <w:t>/</w:t>
            </w:r>
            <w:r>
              <w:rPr>
                <w:rFonts w:hint="eastAsia" w:ascii="宋体" w:hAnsi="宋体" w:eastAsia="宋体"/>
                <w:sz w:val="18"/>
                <w:szCs w:val="18"/>
                <w:lang w:val="en-US" w:eastAsia="zh-CN"/>
              </w:rPr>
              <w:t>1</w:t>
            </w:r>
            <w:r>
              <w:rPr>
                <w:rFonts w:hint="eastAsia" w:ascii="宋体" w:hAnsi="宋体" w:eastAsia="宋体"/>
                <w:sz w:val="18"/>
                <w:szCs w:val="18"/>
              </w:rPr>
              <w:t>8</w:t>
            </w:r>
          </w:p>
        </w:tc>
        <w:tc>
          <w:tcPr>
            <w:tcW w:w="1135" w:type="dxa"/>
            <w:tcBorders>
              <w:top w:val="single" w:color="auto" w:sz="4" w:space="0"/>
              <w:left w:val="single" w:color="auto" w:sz="4" w:space="0"/>
              <w:bottom w:val="single" w:color="auto" w:sz="4" w:space="0"/>
              <w:right w:val="single" w:color="auto" w:sz="4" w:space="0"/>
            </w:tcBorders>
            <w:vAlign w:val="center"/>
          </w:tcPr>
          <w:p>
            <w:pPr>
              <w:ind w:right="-19" w:rightChars="-9"/>
              <w:jc w:val="center"/>
              <w:rPr>
                <w:rFonts w:ascii="宋体" w:hAnsi="宋体" w:eastAsia="宋体" w:cs="Times New Roman"/>
                <w:kern w:val="0"/>
                <w:sz w:val="18"/>
                <w:szCs w:val="18"/>
              </w:rPr>
            </w:pPr>
            <w:r>
              <w:rPr>
                <w:rFonts w:hint="eastAsia" w:ascii="宋体" w:hAnsi="宋体" w:eastAsia="宋体"/>
                <w:sz w:val="18"/>
                <w:szCs w:val="18"/>
              </w:rPr>
              <w:t>2</w:t>
            </w:r>
            <w:r>
              <w:rPr>
                <w:rFonts w:ascii="宋体" w:hAnsi="宋体" w:eastAsia="宋体"/>
                <w:sz w:val="18"/>
                <w:szCs w:val="18"/>
              </w:rPr>
              <w:t>02</w:t>
            </w:r>
            <w:r>
              <w:rPr>
                <w:rFonts w:hint="eastAsia" w:ascii="宋体" w:hAnsi="宋体" w:eastAsia="宋体"/>
                <w:sz w:val="18"/>
                <w:szCs w:val="18"/>
              </w:rPr>
              <w:t>6</w:t>
            </w:r>
            <w:r>
              <w:rPr>
                <w:rFonts w:ascii="宋体" w:hAnsi="宋体" w:eastAsia="宋体"/>
                <w:sz w:val="18"/>
                <w:szCs w:val="18"/>
              </w:rPr>
              <w:t>/</w:t>
            </w:r>
            <w:r>
              <w:rPr>
                <w:rFonts w:hint="eastAsia" w:ascii="宋体" w:hAnsi="宋体" w:eastAsia="宋体"/>
                <w:sz w:val="18"/>
                <w:szCs w:val="18"/>
              </w:rPr>
              <w:t>0</w:t>
            </w:r>
            <w:r>
              <w:rPr>
                <w:rFonts w:hint="eastAsia" w:ascii="宋体" w:hAnsi="宋体" w:eastAsia="宋体"/>
                <w:sz w:val="18"/>
                <w:szCs w:val="18"/>
                <w:lang w:val="en-US" w:eastAsia="zh-CN"/>
              </w:rPr>
              <w:t>6</w:t>
            </w:r>
            <w:r>
              <w:rPr>
                <w:rFonts w:ascii="宋体" w:hAnsi="宋体" w:eastAsia="宋体"/>
                <w:sz w:val="18"/>
                <w:szCs w:val="18"/>
              </w:rPr>
              <w:t>/</w:t>
            </w:r>
            <w:r>
              <w:rPr>
                <w:rFonts w:hint="eastAsia" w:ascii="宋体" w:hAnsi="宋体" w:eastAsia="宋体"/>
                <w:sz w:val="18"/>
                <w:szCs w:val="18"/>
                <w:lang w:val="en-US" w:eastAsia="zh-CN"/>
              </w:rPr>
              <w:t>1</w:t>
            </w:r>
            <w:r>
              <w:rPr>
                <w:rFonts w:hint="eastAsia" w:ascii="宋体" w:hAnsi="宋体" w:eastAsia="宋体"/>
                <w:sz w:val="18"/>
                <w:szCs w:val="18"/>
              </w:rPr>
              <w:t>8</w:t>
            </w:r>
          </w:p>
        </w:tc>
        <w:tc>
          <w:tcPr>
            <w:tcW w:w="567" w:type="dxa"/>
            <w:tcBorders>
              <w:top w:val="single" w:color="auto" w:sz="4" w:space="0"/>
              <w:left w:val="single" w:color="auto" w:sz="4" w:space="0"/>
              <w:bottom w:val="single" w:color="auto" w:sz="4" w:space="0"/>
              <w:right w:val="single" w:color="auto" w:sz="4" w:space="0"/>
            </w:tcBorders>
            <w:vAlign w:val="center"/>
          </w:tcPr>
          <w:p>
            <w:pPr>
              <w:ind w:right="-19" w:rightChars="-9"/>
              <w:jc w:val="center"/>
              <w:rPr>
                <w:rFonts w:hint="eastAsia" w:ascii="宋体" w:hAnsi="宋体" w:eastAsia="宋体" w:cs="Times New Roman"/>
                <w:kern w:val="0"/>
                <w:sz w:val="18"/>
                <w:szCs w:val="18"/>
                <w:lang w:eastAsia="zh-CN"/>
              </w:rPr>
            </w:pPr>
            <w:r>
              <w:rPr>
                <w:rFonts w:hint="eastAsia" w:ascii="宋体" w:hAnsi="宋体" w:eastAsia="宋体"/>
                <w:sz w:val="18"/>
                <w:szCs w:val="18"/>
                <w:lang w:val="en-US" w:eastAsia="zh-CN"/>
              </w:rPr>
              <w:t>否</w:t>
            </w:r>
          </w:p>
        </w:tc>
        <w:tc>
          <w:tcPr>
            <w:tcW w:w="732" w:type="dxa"/>
            <w:tcBorders>
              <w:top w:val="single" w:color="auto" w:sz="4" w:space="0"/>
              <w:left w:val="single" w:color="auto" w:sz="4" w:space="0"/>
              <w:bottom w:val="single" w:color="auto" w:sz="4" w:space="0"/>
              <w:right w:val="single" w:color="auto" w:sz="4" w:space="0"/>
            </w:tcBorders>
            <w:vAlign w:val="center"/>
          </w:tcPr>
          <w:p>
            <w:pPr>
              <w:ind w:right="-19" w:rightChars="-9"/>
              <w:jc w:val="center"/>
              <w:rPr>
                <w:rFonts w:hint="eastAsia" w:ascii="宋体" w:hAnsi="宋体" w:eastAsia="宋体" w:cs="Times New Roman"/>
                <w:kern w:val="0"/>
                <w:sz w:val="18"/>
                <w:szCs w:val="18"/>
              </w:rPr>
            </w:pPr>
            <w:r>
              <w:rPr>
                <w:rFonts w:hint="eastAsia" w:ascii="宋体" w:hAnsi="宋体" w:eastAsia="宋体"/>
                <w:sz w:val="18"/>
                <w:szCs w:val="18"/>
              </w:rPr>
              <w:t>保本浮动收益型</w:t>
            </w:r>
          </w:p>
        </w:tc>
        <w:tc>
          <w:tcPr>
            <w:tcW w:w="1125" w:type="dxa"/>
            <w:tcBorders>
              <w:top w:val="single" w:color="auto" w:sz="4" w:space="0"/>
              <w:left w:val="single" w:color="auto" w:sz="4" w:space="0"/>
              <w:bottom w:val="single" w:color="auto" w:sz="4" w:space="0"/>
              <w:right w:val="single" w:color="auto" w:sz="4" w:space="0"/>
            </w:tcBorders>
            <w:vAlign w:val="center"/>
          </w:tcPr>
          <w:p>
            <w:pPr>
              <w:ind w:right="-19" w:rightChars="-9"/>
              <w:jc w:val="center"/>
              <w:rPr>
                <w:rFonts w:ascii="宋体" w:hAnsi="宋体" w:eastAsia="宋体" w:cs="Times New Roman"/>
                <w:kern w:val="0"/>
                <w:sz w:val="18"/>
                <w:szCs w:val="18"/>
              </w:rPr>
            </w:pPr>
            <w:r>
              <w:rPr>
                <w:rFonts w:ascii="宋体" w:hAnsi="宋体" w:eastAsia="宋体"/>
                <w:sz w:val="18"/>
                <w:szCs w:val="18"/>
              </w:rPr>
              <w:t>1.00%-2.</w:t>
            </w:r>
            <w:r>
              <w:rPr>
                <w:rFonts w:hint="eastAsia" w:ascii="宋体" w:hAnsi="宋体" w:eastAsia="宋体"/>
                <w:sz w:val="18"/>
                <w:szCs w:val="18"/>
                <w:lang w:val="en-US" w:eastAsia="zh-CN"/>
              </w:rPr>
              <w:t>2</w:t>
            </w:r>
            <w:r>
              <w:rPr>
                <w:rFonts w:ascii="宋体" w:hAnsi="宋体" w:eastAsia="宋体"/>
                <w:sz w:val="18"/>
                <w:szCs w:val="18"/>
              </w:rPr>
              <w:t>5%</w:t>
            </w:r>
          </w:p>
        </w:tc>
        <w:tc>
          <w:tcPr>
            <w:tcW w:w="992" w:type="dxa"/>
            <w:tcBorders>
              <w:top w:val="single" w:color="auto" w:sz="4" w:space="0"/>
              <w:left w:val="single" w:color="auto" w:sz="4" w:space="0"/>
              <w:bottom w:val="single" w:color="auto" w:sz="4" w:space="0"/>
              <w:right w:val="single" w:color="auto" w:sz="4" w:space="0"/>
            </w:tcBorders>
            <w:vAlign w:val="center"/>
          </w:tcPr>
          <w:p>
            <w:pPr>
              <w:ind w:right="-19" w:rightChars="-9"/>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w:t>
            </w:r>
          </w:p>
        </w:tc>
        <w:tc>
          <w:tcPr>
            <w:tcW w:w="851" w:type="dxa"/>
            <w:tcBorders>
              <w:top w:val="single" w:color="auto" w:sz="4" w:space="0"/>
              <w:left w:val="single" w:color="auto" w:sz="4" w:space="0"/>
              <w:bottom w:val="single" w:color="auto" w:sz="4" w:space="0"/>
              <w:right w:val="single" w:color="auto" w:sz="4" w:space="0"/>
            </w:tcBorders>
            <w:vAlign w:val="center"/>
          </w:tcPr>
          <w:p>
            <w:pPr>
              <w:ind w:right="-19" w:rightChars="-9"/>
              <w:jc w:val="center"/>
              <w:rPr>
                <w:rFonts w:hint="eastAsia" w:ascii="Times New Roman" w:hAnsi="Times New Roman" w:eastAsia="宋体" w:cs="Times New Roman"/>
                <w:kern w:val="0"/>
                <w:sz w:val="20"/>
                <w:szCs w:val="20"/>
              </w:rPr>
            </w:pPr>
            <w:r>
              <w:rPr>
                <w:rFonts w:hint="eastAsia" w:ascii="宋体" w:hAnsi="宋体" w:eastAsia="宋体"/>
                <w:sz w:val="18"/>
                <w:szCs w:val="18"/>
              </w:rPr>
              <w:t>自有资金</w:t>
            </w:r>
          </w:p>
        </w:tc>
      </w:tr>
    </w:tbl>
    <w:p>
      <w:pPr>
        <w:spacing w:before="240" w:line="360" w:lineRule="auto"/>
        <w:ind w:firstLine="480" w:firstLineChars="200"/>
        <w:rPr>
          <w:rFonts w:hint="eastAsia" w:ascii="宋体" w:hAnsi="宋体" w:eastAsia="宋体"/>
          <w:sz w:val="24"/>
        </w:rPr>
      </w:pPr>
      <w:r>
        <w:rPr>
          <w:rFonts w:hint="eastAsia" w:ascii="宋体" w:hAnsi="宋体" w:eastAsia="宋体"/>
          <w:sz w:val="24"/>
        </w:rPr>
        <w:t>截至本公告日，已到期的理财产品的本金及收益均已如期收回。公司使用闲 置自有资金委托理财共两笔，第一笔</w:t>
      </w:r>
      <w:r>
        <w:rPr>
          <w:rFonts w:hint="eastAsia" w:ascii="宋体" w:hAnsi="宋体" w:eastAsia="宋体"/>
          <w:sz w:val="24"/>
          <w:lang w:val="en-US" w:eastAsia="zh-CN"/>
        </w:rPr>
        <w:t>4</w:t>
      </w:r>
      <w:r>
        <w:rPr>
          <w:rFonts w:hint="eastAsia" w:ascii="宋体" w:hAnsi="宋体" w:eastAsia="宋体"/>
          <w:sz w:val="24"/>
        </w:rPr>
        <w:t>,000万元未到期，第二笔3,000万</w:t>
      </w:r>
      <w:r>
        <w:rPr>
          <w:rFonts w:hint="eastAsia" w:ascii="宋体" w:hAnsi="宋体" w:eastAsia="宋体"/>
          <w:sz w:val="24"/>
          <w:lang w:val="en-US" w:eastAsia="zh-CN"/>
        </w:rPr>
        <w:t>元</w:t>
      </w:r>
      <w:bookmarkStart w:id="1" w:name="_GoBack"/>
      <w:bookmarkEnd w:id="1"/>
      <w:r>
        <w:rPr>
          <w:rFonts w:hint="eastAsia" w:ascii="宋体" w:hAnsi="宋体" w:eastAsia="宋体"/>
          <w:sz w:val="24"/>
        </w:rPr>
        <w:t xml:space="preserve">未到 期，合计未到期金额 </w:t>
      </w:r>
      <w:r>
        <w:rPr>
          <w:rFonts w:hint="eastAsia" w:ascii="宋体" w:hAnsi="宋体" w:eastAsia="宋体"/>
          <w:sz w:val="24"/>
          <w:lang w:val="en-US" w:eastAsia="zh-CN"/>
        </w:rPr>
        <w:t>7</w:t>
      </w:r>
      <w:r>
        <w:rPr>
          <w:rFonts w:hint="eastAsia" w:ascii="宋体" w:hAnsi="宋体" w:eastAsia="宋体"/>
          <w:sz w:val="24"/>
        </w:rPr>
        <w:t>,000 万元。购买以上理财产品单笔及合计金额均未超过公司股东会对使用闲置自有资金进行委托理财及闲置募集资金进行现金管理的授权额度。</w:t>
      </w:r>
    </w:p>
    <w:p>
      <w:pPr>
        <w:pStyle w:val="12"/>
        <w:numPr>
          <w:ilvl w:val="0"/>
          <w:numId w:val="1"/>
        </w:numPr>
        <w:spacing w:line="360" w:lineRule="auto"/>
        <w:ind w:left="0" w:firstLine="720" w:firstLineChars="0"/>
        <w:jc w:val="left"/>
        <w:outlineLvl w:val="0"/>
        <w:rPr>
          <w:rFonts w:hint="eastAsia" w:ascii="宋体" w:hAnsi="宋体" w:eastAsia="宋体"/>
          <w:b/>
          <w:sz w:val="24"/>
        </w:rPr>
      </w:pPr>
      <w:r>
        <w:rPr>
          <w:rFonts w:hint="eastAsia" w:ascii="宋体" w:hAnsi="宋体" w:eastAsia="宋体"/>
          <w:b/>
          <w:sz w:val="24"/>
        </w:rPr>
        <w:t>备查文件</w:t>
      </w:r>
      <w:r>
        <w:rPr>
          <w:rFonts w:ascii="宋体" w:hAnsi="宋体" w:eastAsia="宋体"/>
          <w:b/>
          <w:sz w:val="24"/>
        </w:rPr>
        <w:t xml:space="preserve"> </w:t>
      </w:r>
    </w:p>
    <w:p>
      <w:pPr>
        <w:pStyle w:val="12"/>
        <w:numPr>
          <w:ilvl w:val="0"/>
          <w:numId w:val="2"/>
        </w:numPr>
        <w:spacing w:line="360" w:lineRule="auto"/>
        <w:ind w:firstLineChars="0"/>
        <w:rPr>
          <w:rFonts w:hint="eastAsia" w:ascii="宋体" w:hAnsi="宋体" w:eastAsia="宋体"/>
          <w:sz w:val="24"/>
          <w:szCs w:val="24"/>
        </w:rPr>
      </w:pPr>
      <w:r>
        <w:rPr>
          <w:rFonts w:ascii="宋体" w:hAnsi="宋体" w:eastAsia="宋体"/>
          <w:sz w:val="24"/>
          <w:szCs w:val="24"/>
        </w:rPr>
        <w:t>理财产品认购凭证</w:t>
      </w:r>
      <w:r>
        <w:rPr>
          <w:rFonts w:hint="eastAsia" w:ascii="宋体" w:hAnsi="宋体" w:eastAsia="宋体"/>
          <w:sz w:val="24"/>
          <w:szCs w:val="24"/>
        </w:rPr>
        <w:t>、理财产品说明书等。</w:t>
      </w:r>
    </w:p>
    <w:p>
      <w:pPr>
        <w:spacing w:line="360" w:lineRule="auto"/>
        <w:ind w:firstLine="480" w:firstLineChars="200"/>
        <w:rPr>
          <w:rFonts w:hint="eastAsia" w:ascii="宋体" w:hAnsi="宋体" w:eastAsia="宋体"/>
          <w:sz w:val="24"/>
          <w:szCs w:val="24"/>
        </w:rPr>
      </w:pP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特此公告。</w:t>
      </w:r>
    </w:p>
    <w:p>
      <w:pPr>
        <w:spacing w:line="360" w:lineRule="auto"/>
        <w:ind w:firstLine="480" w:firstLineChars="200"/>
        <w:jc w:val="right"/>
        <w:rPr>
          <w:rFonts w:hint="eastAsia" w:ascii="宋体" w:hAnsi="宋体" w:eastAsia="宋体"/>
          <w:sz w:val="24"/>
        </w:rPr>
      </w:pPr>
      <w:r>
        <w:rPr>
          <w:rFonts w:hint="eastAsia" w:ascii="宋体" w:hAnsi="宋体" w:eastAsia="宋体"/>
          <w:sz w:val="24"/>
        </w:rPr>
        <w:t>浙江威星智能仪表</w:t>
      </w:r>
      <w:r>
        <w:rPr>
          <w:rFonts w:ascii="宋体" w:hAnsi="宋体" w:eastAsia="宋体"/>
          <w:sz w:val="24"/>
        </w:rPr>
        <w:t>股份有限公司</w:t>
      </w:r>
    </w:p>
    <w:p>
      <w:pPr>
        <w:spacing w:line="360" w:lineRule="auto"/>
        <w:ind w:firstLine="480" w:firstLineChars="200"/>
        <w:jc w:val="right"/>
        <w:rPr>
          <w:rFonts w:hint="eastAsia" w:ascii="宋体" w:hAnsi="宋体" w:eastAsia="宋体"/>
          <w:sz w:val="24"/>
        </w:rPr>
      </w:pPr>
      <w:r>
        <w:rPr>
          <w:rFonts w:hint="eastAsia" w:ascii="宋体" w:hAnsi="宋体" w:eastAsia="宋体"/>
          <w:sz w:val="24"/>
        </w:rPr>
        <w:t xml:space="preserve">董事会                                     </w:t>
      </w:r>
    </w:p>
    <w:p>
      <w:pPr>
        <w:spacing w:line="360" w:lineRule="auto"/>
        <w:ind w:firstLine="480" w:firstLineChars="200"/>
        <w:jc w:val="right"/>
        <w:rPr>
          <w:rFonts w:hint="eastAsia" w:ascii="宋体" w:hAnsi="宋体" w:eastAsia="宋体"/>
          <w:sz w:val="24"/>
        </w:rPr>
      </w:pPr>
      <w:r>
        <w:rPr>
          <w:rFonts w:ascii="宋体" w:hAnsi="宋体" w:eastAsia="宋体"/>
          <w:sz w:val="24"/>
        </w:rPr>
        <w:t>202</w:t>
      </w:r>
      <w:r>
        <w:rPr>
          <w:rFonts w:hint="eastAsia" w:ascii="宋体" w:hAnsi="宋体" w:eastAsia="宋体"/>
          <w:sz w:val="24"/>
        </w:rPr>
        <w:t>6</w:t>
      </w:r>
      <w:r>
        <w:rPr>
          <w:rFonts w:ascii="宋体" w:hAnsi="宋体" w:eastAsia="宋体"/>
          <w:sz w:val="24"/>
        </w:rPr>
        <w:t>年</w:t>
      </w:r>
      <w:r>
        <w:rPr>
          <w:rFonts w:hint="eastAsia" w:ascii="宋体" w:hAnsi="宋体" w:eastAsia="宋体"/>
          <w:sz w:val="24"/>
          <w:lang w:val="en-US" w:eastAsia="zh-CN"/>
        </w:rPr>
        <w:t>3</w:t>
      </w:r>
      <w:r>
        <w:rPr>
          <w:rFonts w:ascii="宋体" w:hAnsi="宋体" w:eastAsia="宋体"/>
          <w:sz w:val="24"/>
        </w:rPr>
        <w:t>月</w:t>
      </w:r>
      <w:r>
        <w:rPr>
          <w:rFonts w:hint="eastAsia" w:ascii="宋体" w:hAnsi="宋体" w:eastAsia="宋体"/>
          <w:sz w:val="24"/>
          <w:lang w:val="en-US" w:eastAsia="zh-CN"/>
        </w:rPr>
        <w:t>17</w:t>
      </w:r>
      <w:r>
        <w:rPr>
          <w:rFonts w:ascii="宋体" w:hAnsi="宋体" w:eastAsia="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C0A60"/>
    <w:multiLevelType w:val="multilevel"/>
    <w:tmpl w:val="5B6C0A60"/>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7AFD12F1"/>
    <w:multiLevelType w:val="multilevel"/>
    <w:tmpl w:val="7AFD12F1"/>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E83"/>
    <w:rsid w:val="00004D27"/>
    <w:rsid w:val="0001049B"/>
    <w:rsid w:val="00012700"/>
    <w:rsid w:val="00013318"/>
    <w:rsid w:val="00014C52"/>
    <w:rsid w:val="00020401"/>
    <w:rsid w:val="00020802"/>
    <w:rsid w:val="00023CBF"/>
    <w:rsid w:val="00026C71"/>
    <w:rsid w:val="00030676"/>
    <w:rsid w:val="00032B61"/>
    <w:rsid w:val="00037878"/>
    <w:rsid w:val="00047EB5"/>
    <w:rsid w:val="00052C06"/>
    <w:rsid w:val="00052DC9"/>
    <w:rsid w:val="000562E0"/>
    <w:rsid w:val="00057F62"/>
    <w:rsid w:val="0006497C"/>
    <w:rsid w:val="00071900"/>
    <w:rsid w:val="00072BB3"/>
    <w:rsid w:val="00073476"/>
    <w:rsid w:val="00073F51"/>
    <w:rsid w:val="000754E1"/>
    <w:rsid w:val="00095B78"/>
    <w:rsid w:val="000A0137"/>
    <w:rsid w:val="000A0182"/>
    <w:rsid w:val="000B1ED3"/>
    <w:rsid w:val="000B5A02"/>
    <w:rsid w:val="000C164F"/>
    <w:rsid w:val="000C790D"/>
    <w:rsid w:val="000D1AC9"/>
    <w:rsid w:val="000D595F"/>
    <w:rsid w:val="000D5CA4"/>
    <w:rsid w:val="000E0E51"/>
    <w:rsid w:val="000E201C"/>
    <w:rsid w:val="000E2CF7"/>
    <w:rsid w:val="000F1815"/>
    <w:rsid w:val="00102CC1"/>
    <w:rsid w:val="001107B4"/>
    <w:rsid w:val="001116DF"/>
    <w:rsid w:val="0011351D"/>
    <w:rsid w:val="0011423A"/>
    <w:rsid w:val="0012009A"/>
    <w:rsid w:val="0012246E"/>
    <w:rsid w:val="00122FED"/>
    <w:rsid w:val="001240ED"/>
    <w:rsid w:val="001249C3"/>
    <w:rsid w:val="001249E0"/>
    <w:rsid w:val="00126227"/>
    <w:rsid w:val="00127B5B"/>
    <w:rsid w:val="0013250F"/>
    <w:rsid w:val="0013796A"/>
    <w:rsid w:val="00143AB6"/>
    <w:rsid w:val="001577EA"/>
    <w:rsid w:val="001661A0"/>
    <w:rsid w:val="00170FA9"/>
    <w:rsid w:val="00172186"/>
    <w:rsid w:val="00191438"/>
    <w:rsid w:val="0019273C"/>
    <w:rsid w:val="001930F4"/>
    <w:rsid w:val="0019529B"/>
    <w:rsid w:val="00196E38"/>
    <w:rsid w:val="001979B2"/>
    <w:rsid w:val="001B00F6"/>
    <w:rsid w:val="001B0AC6"/>
    <w:rsid w:val="001B0B7D"/>
    <w:rsid w:val="001B5F0C"/>
    <w:rsid w:val="001B7262"/>
    <w:rsid w:val="001B7B40"/>
    <w:rsid w:val="001B7C9A"/>
    <w:rsid w:val="001C1C8F"/>
    <w:rsid w:val="001C6F5F"/>
    <w:rsid w:val="001D4D64"/>
    <w:rsid w:val="001D79D3"/>
    <w:rsid w:val="001E2938"/>
    <w:rsid w:val="001E35EC"/>
    <w:rsid w:val="001E58BD"/>
    <w:rsid w:val="001F62BB"/>
    <w:rsid w:val="00210493"/>
    <w:rsid w:val="0022088A"/>
    <w:rsid w:val="0022676C"/>
    <w:rsid w:val="0023545B"/>
    <w:rsid w:val="00241B6E"/>
    <w:rsid w:val="00246958"/>
    <w:rsid w:val="002601BE"/>
    <w:rsid w:val="00261F76"/>
    <w:rsid w:val="0027329A"/>
    <w:rsid w:val="00282272"/>
    <w:rsid w:val="00290909"/>
    <w:rsid w:val="00293831"/>
    <w:rsid w:val="002945D3"/>
    <w:rsid w:val="00295A88"/>
    <w:rsid w:val="002A0C55"/>
    <w:rsid w:val="002A65BB"/>
    <w:rsid w:val="002A791C"/>
    <w:rsid w:val="002B2DF2"/>
    <w:rsid w:val="002B3C88"/>
    <w:rsid w:val="002D711D"/>
    <w:rsid w:val="002E39F2"/>
    <w:rsid w:val="002E6627"/>
    <w:rsid w:val="002F5D21"/>
    <w:rsid w:val="002F75C2"/>
    <w:rsid w:val="00300DF6"/>
    <w:rsid w:val="00306B68"/>
    <w:rsid w:val="003123FF"/>
    <w:rsid w:val="00325F33"/>
    <w:rsid w:val="003267E3"/>
    <w:rsid w:val="00327658"/>
    <w:rsid w:val="00340677"/>
    <w:rsid w:val="0034176E"/>
    <w:rsid w:val="0034429C"/>
    <w:rsid w:val="00352B87"/>
    <w:rsid w:val="0035631E"/>
    <w:rsid w:val="003579B5"/>
    <w:rsid w:val="00365434"/>
    <w:rsid w:val="0037292C"/>
    <w:rsid w:val="00382B08"/>
    <w:rsid w:val="00383204"/>
    <w:rsid w:val="003841B1"/>
    <w:rsid w:val="00387CBE"/>
    <w:rsid w:val="00391568"/>
    <w:rsid w:val="0039365E"/>
    <w:rsid w:val="00395134"/>
    <w:rsid w:val="003B0AA9"/>
    <w:rsid w:val="003B7455"/>
    <w:rsid w:val="003C2244"/>
    <w:rsid w:val="003C27B8"/>
    <w:rsid w:val="003D06F6"/>
    <w:rsid w:val="003D38B3"/>
    <w:rsid w:val="003E718B"/>
    <w:rsid w:val="003F01DC"/>
    <w:rsid w:val="003F1830"/>
    <w:rsid w:val="004000DF"/>
    <w:rsid w:val="00411F71"/>
    <w:rsid w:val="0041333F"/>
    <w:rsid w:val="0041491C"/>
    <w:rsid w:val="00424484"/>
    <w:rsid w:val="004321C0"/>
    <w:rsid w:val="00432D3A"/>
    <w:rsid w:val="0043582F"/>
    <w:rsid w:val="004407C8"/>
    <w:rsid w:val="004437AE"/>
    <w:rsid w:val="004476A6"/>
    <w:rsid w:val="0044793A"/>
    <w:rsid w:val="0045080D"/>
    <w:rsid w:val="00457A59"/>
    <w:rsid w:val="0046111F"/>
    <w:rsid w:val="004671C7"/>
    <w:rsid w:val="004677F4"/>
    <w:rsid w:val="00474910"/>
    <w:rsid w:val="00477945"/>
    <w:rsid w:val="00486518"/>
    <w:rsid w:val="0049683C"/>
    <w:rsid w:val="004B28E2"/>
    <w:rsid w:val="004B3AA2"/>
    <w:rsid w:val="004C0F70"/>
    <w:rsid w:val="004C2E79"/>
    <w:rsid w:val="004C7B68"/>
    <w:rsid w:val="004D3C0B"/>
    <w:rsid w:val="004D59E6"/>
    <w:rsid w:val="004E3294"/>
    <w:rsid w:val="004E458A"/>
    <w:rsid w:val="004F4C2E"/>
    <w:rsid w:val="00515E04"/>
    <w:rsid w:val="00520EB8"/>
    <w:rsid w:val="005303C0"/>
    <w:rsid w:val="00550F77"/>
    <w:rsid w:val="00573186"/>
    <w:rsid w:val="00577751"/>
    <w:rsid w:val="00580BD1"/>
    <w:rsid w:val="00585135"/>
    <w:rsid w:val="00592760"/>
    <w:rsid w:val="005A7DD2"/>
    <w:rsid w:val="005B1BC2"/>
    <w:rsid w:val="005C56A8"/>
    <w:rsid w:val="005D1FB2"/>
    <w:rsid w:val="005E7AD7"/>
    <w:rsid w:val="005F12AB"/>
    <w:rsid w:val="005F40C6"/>
    <w:rsid w:val="005F504D"/>
    <w:rsid w:val="00601453"/>
    <w:rsid w:val="00602BB7"/>
    <w:rsid w:val="00623B18"/>
    <w:rsid w:val="00627B09"/>
    <w:rsid w:val="00627C6E"/>
    <w:rsid w:val="006348E8"/>
    <w:rsid w:val="0063770B"/>
    <w:rsid w:val="006404EE"/>
    <w:rsid w:val="00643623"/>
    <w:rsid w:val="00644759"/>
    <w:rsid w:val="006456AC"/>
    <w:rsid w:val="0064607B"/>
    <w:rsid w:val="00646789"/>
    <w:rsid w:val="00655697"/>
    <w:rsid w:val="006665E9"/>
    <w:rsid w:val="00667C7B"/>
    <w:rsid w:val="006713DA"/>
    <w:rsid w:val="0067695E"/>
    <w:rsid w:val="00677205"/>
    <w:rsid w:val="006777FE"/>
    <w:rsid w:val="00684342"/>
    <w:rsid w:val="00687C75"/>
    <w:rsid w:val="00690866"/>
    <w:rsid w:val="00696013"/>
    <w:rsid w:val="006A0DD0"/>
    <w:rsid w:val="006A53D3"/>
    <w:rsid w:val="006B2E43"/>
    <w:rsid w:val="006B3ADC"/>
    <w:rsid w:val="006B46FC"/>
    <w:rsid w:val="006B497F"/>
    <w:rsid w:val="006C17EC"/>
    <w:rsid w:val="006C4BD0"/>
    <w:rsid w:val="006D398C"/>
    <w:rsid w:val="006E25D4"/>
    <w:rsid w:val="006E2C3C"/>
    <w:rsid w:val="006E5FC8"/>
    <w:rsid w:val="00700372"/>
    <w:rsid w:val="00706872"/>
    <w:rsid w:val="00707EC4"/>
    <w:rsid w:val="00712EE4"/>
    <w:rsid w:val="00717E31"/>
    <w:rsid w:val="00720D5D"/>
    <w:rsid w:val="00721F6E"/>
    <w:rsid w:val="00723065"/>
    <w:rsid w:val="00723858"/>
    <w:rsid w:val="0072393A"/>
    <w:rsid w:val="00727B1F"/>
    <w:rsid w:val="00731FF8"/>
    <w:rsid w:val="007345C8"/>
    <w:rsid w:val="0073552F"/>
    <w:rsid w:val="00737A04"/>
    <w:rsid w:val="00756CF2"/>
    <w:rsid w:val="0076587B"/>
    <w:rsid w:val="00777114"/>
    <w:rsid w:val="00777783"/>
    <w:rsid w:val="0078295B"/>
    <w:rsid w:val="00785C90"/>
    <w:rsid w:val="0078784D"/>
    <w:rsid w:val="00791F8F"/>
    <w:rsid w:val="007960D8"/>
    <w:rsid w:val="0079648A"/>
    <w:rsid w:val="007B1F32"/>
    <w:rsid w:val="007C3EF1"/>
    <w:rsid w:val="007C53DB"/>
    <w:rsid w:val="007C5B57"/>
    <w:rsid w:val="007C6F60"/>
    <w:rsid w:val="007D07DE"/>
    <w:rsid w:val="007D5828"/>
    <w:rsid w:val="007E113D"/>
    <w:rsid w:val="007E12C8"/>
    <w:rsid w:val="007F48BD"/>
    <w:rsid w:val="00800F44"/>
    <w:rsid w:val="0080102A"/>
    <w:rsid w:val="00802C57"/>
    <w:rsid w:val="00803A37"/>
    <w:rsid w:val="00806CA1"/>
    <w:rsid w:val="008079FD"/>
    <w:rsid w:val="00813925"/>
    <w:rsid w:val="00840ED7"/>
    <w:rsid w:val="0084572E"/>
    <w:rsid w:val="00845836"/>
    <w:rsid w:val="0084705B"/>
    <w:rsid w:val="00852894"/>
    <w:rsid w:val="00860A56"/>
    <w:rsid w:val="008812B2"/>
    <w:rsid w:val="00881F91"/>
    <w:rsid w:val="00884A52"/>
    <w:rsid w:val="00890100"/>
    <w:rsid w:val="00893A34"/>
    <w:rsid w:val="00893BCB"/>
    <w:rsid w:val="0089720B"/>
    <w:rsid w:val="00897D6E"/>
    <w:rsid w:val="008A42DF"/>
    <w:rsid w:val="008A4FFE"/>
    <w:rsid w:val="008A56F7"/>
    <w:rsid w:val="008A686C"/>
    <w:rsid w:val="008B1156"/>
    <w:rsid w:val="008B18A9"/>
    <w:rsid w:val="008B203F"/>
    <w:rsid w:val="008B544E"/>
    <w:rsid w:val="008D2FBA"/>
    <w:rsid w:val="008D32E2"/>
    <w:rsid w:val="008E0C3F"/>
    <w:rsid w:val="008E224E"/>
    <w:rsid w:val="008E5355"/>
    <w:rsid w:val="008F1314"/>
    <w:rsid w:val="00901087"/>
    <w:rsid w:val="00901AB7"/>
    <w:rsid w:val="00905DB5"/>
    <w:rsid w:val="00907E16"/>
    <w:rsid w:val="009177C5"/>
    <w:rsid w:val="00917B20"/>
    <w:rsid w:val="00917D0A"/>
    <w:rsid w:val="00922C2A"/>
    <w:rsid w:val="009242DC"/>
    <w:rsid w:val="0093035C"/>
    <w:rsid w:val="00932C55"/>
    <w:rsid w:val="00935BC6"/>
    <w:rsid w:val="00935BF6"/>
    <w:rsid w:val="009415D4"/>
    <w:rsid w:val="00944AEF"/>
    <w:rsid w:val="0095166D"/>
    <w:rsid w:val="0095194C"/>
    <w:rsid w:val="00957A21"/>
    <w:rsid w:val="00970E25"/>
    <w:rsid w:val="00980114"/>
    <w:rsid w:val="009823DA"/>
    <w:rsid w:val="00984DF6"/>
    <w:rsid w:val="009902D8"/>
    <w:rsid w:val="009929AD"/>
    <w:rsid w:val="00996C1E"/>
    <w:rsid w:val="009A1898"/>
    <w:rsid w:val="009A2195"/>
    <w:rsid w:val="009A56A0"/>
    <w:rsid w:val="009B088C"/>
    <w:rsid w:val="009B5F51"/>
    <w:rsid w:val="009E0250"/>
    <w:rsid w:val="009E05C8"/>
    <w:rsid w:val="009E2EC6"/>
    <w:rsid w:val="009E7C58"/>
    <w:rsid w:val="009F3B56"/>
    <w:rsid w:val="009F7280"/>
    <w:rsid w:val="009F7949"/>
    <w:rsid w:val="00A044F4"/>
    <w:rsid w:val="00A04DCC"/>
    <w:rsid w:val="00A05FF9"/>
    <w:rsid w:val="00A06805"/>
    <w:rsid w:val="00A1019F"/>
    <w:rsid w:val="00A10641"/>
    <w:rsid w:val="00A13741"/>
    <w:rsid w:val="00A1408C"/>
    <w:rsid w:val="00A15681"/>
    <w:rsid w:val="00A41BAB"/>
    <w:rsid w:val="00A44BE0"/>
    <w:rsid w:val="00A45EAD"/>
    <w:rsid w:val="00A50682"/>
    <w:rsid w:val="00A5130F"/>
    <w:rsid w:val="00A527B7"/>
    <w:rsid w:val="00A55214"/>
    <w:rsid w:val="00A623BE"/>
    <w:rsid w:val="00A6287D"/>
    <w:rsid w:val="00A71FE8"/>
    <w:rsid w:val="00A77317"/>
    <w:rsid w:val="00A80BA7"/>
    <w:rsid w:val="00A923FC"/>
    <w:rsid w:val="00A926F4"/>
    <w:rsid w:val="00A9386F"/>
    <w:rsid w:val="00A95D7F"/>
    <w:rsid w:val="00A961BC"/>
    <w:rsid w:val="00A97DB6"/>
    <w:rsid w:val="00AA4A29"/>
    <w:rsid w:val="00AB146A"/>
    <w:rsid w:val="00AB7408"/>
    <w:rsid w:val="00AB7A1D"/>
    <w:rsid w:val="00AC2B73"/>
    <w:rsid w:val="00AC2BEA"/>
    <w:rsid w:val="00AC37BE"/>
    <w:rsid w:val="00AC39CD"/>
    <w:rsid w:val="00AC3BDA"/>
    <w:rsid w:val="00AC49A2"/>
    <w:rsid w:val="00AC5145"/>
    <w:rsid w:val="00AC7909"/>
    <w:rsid w:val="00AD02AF"/>
    <w:rsid w:val="00AD1256"/>
    <w:rsid w:val="00AE0F59"/>
    <w:rsid w:val="00AE1192"/>
    <w:rsid w:val="00AF0632"/>
    <w:rsid w:val="00AF7326"/>
    <w:rsid w:val="00B06D9A"/>
    <w:rsid w:val="00B15F11"/>
    <w:rsid w:val="00B166F5"/>
    <w:rsid w:val="00B202CA"/>
    <w:rsid w:val="00B24614"/>
    <w:rsid w:val="00B2657A"/>
    <w:rsid w:val="00B340FC"/>
    <w:rsid w:val="00B44B54"/>
    <w:rsid w:val="00B45FBC"/>
    <w:rsid w:val="00B607FD"/>
    <w:rsid w:val="00B62107"/>
    <w:rsid w:val="00B65DB5"/>
    <w:rsid w:val="00B70221"/>
    <w:rsid w:val="00B71E19"/>
    <w:rsid w:val="00B72AF8"/>
    <w:rsid w:val="00B83D5E"/>
    <w:rsid w:val="00B84B6E"/>
    <w:rsid w:val="00B84BDE"/>
    <w:rsid w:val="00B92BE6"/>
    <w:rsid w:val="00B93AD2"/>
    <w:rsid w:val="00B97886"/>
    <w:rsid w:val="00BA4AF0"/>
    <w:rsid w:val="00BB7E59"/>
    <w:rsid w:val="00BC09B8"/>
    <w:rsid w:val="00BC233A"/>
    <w:rsid w:val="00BC3D1F"/>
    <w:rsid w:val="00BD081E"/>
    <w:rsid w:val="00BD2E90"/>
    <w:rsid w:val="00BD2ED4"/>
    <w:rsid w:val="00BD6E50"/>
    <w:rsid w:val="00BE499C"/>
    <w:rsid w:val="00BF1C2B"/>
    <w:rsid w:val="00C010A0"/>
    <w:rsid w:val="00C04D19"/>
    <w:rsid w:val="00C13FF0"/>
    <w:rsid w:val="00C161AF"/>
    <w:rsid w:val="00C21FBE"/>
    <w:rsid w:val="00C277A3"/>
    <w:rsid w:val="00C31DDC"/>
    <w:rsid w:val="00C32040"/>
    <w:rsid w:val="00C40731"/>
    <w:rsid w:val="00C417E6"/>
    <w:rsid w:val="00C67CA5"/>
    <w:rsid w:val="00C70DF6"/>
    <w:rsid w:val="00C723B8"/>
    <w:rsid w:val="00CA00B9"/>
    <w:rsid w:val="00CA67AD"/>
    <w:rsid w:val="00CC245E"/>
    <w:rsid w:val="00CC40FA"/>
    <w:rsid w:val="00CC4D29"/>
    <w:rsid w:val="00CD06F6"/>
    <w:rsid w:val="00CD24B0"/>
    <w:rsid w:val="00CD5489"/>
    <w:rsid w:val="00CE30A9"/>
    <w:rsid w:val="00CE51DC"/>
    <w:rsid w:val="00CE5D8F"/>
    <w:rsid w:val="00CF37CD"/>
    <w:rsid w:val="00D004FD"/>
    <w:rsid w:val="00D043DC"/>
    <w:rsid w:val="00D078BD"/>
    <w:rsid w:val="00D13BCF"/>
    <w:rsid w:val="00D14722"/>
    <w:rsid w:val="00D23BF6"/>
    <w:rsid w:val="00D35049"/>
    <w:rsid w:val="00D42848"/>
    <w:rsid w:val="00D472FE"/>
    <w:rsid w:val="00D47AA1"/>
    <w:rsid w:val="00D513AD"/>
    <w:rsid w:val="00D55B2E"/>
    <w:rsid w:val="00D570BC"/>
    <w:rsid w:val="00D66FC4"/>
    <w:rsid w:val="00D7069D"/>
    <w:rsid w:val="00D765DA"/>
    <w:rsid w:val="00D84A98"/>
    <w:rsid w:val="00D86FB9"/>
    <w:rsid w:val="00D918E6"/>
    <w:rsid w:val="00D95CFA"/>
    <w:rsid w:val="00DA0D98"/>
    <w:rsid w:val="00DA5FCC"/>
    <w:rsid w:val="00DB14FF"/>
    <w:rsid w:val="00DB2B0E"/>
    <w:rsid w:val="00DB3A48"/>
    <w:rsid w:val="00DB4FBF"/>
    <w:rsid w:val="00DB75AE"/>
    <w:rsid w:val="00DB7C5A"/>
    <w:rsid w:val="00DC1869"/>
    <w:rsid w:val="00DC6D36"/>
    <w:rsid w:val="00DC79E8"/>
    <w:rsid w:val="00DD0D3A"/>
    <w:rsid w:val="00DD433A"/>
    <w:rsid w:val="00DD4879"/>
    <w:rsid w:val="00DD5262"/>
    <w:rsid w:val="00DE0E83"/>
    <w:rsid w:val="00DE4231"/>
    <w:rsid w:val="00DE7FFE"/>
    <w:rsid w:val="00DF070A"/>
    <w:rsid w:val="00DF082B"/>
    <w:rsid w:val="00DF1DB9"/>
    <w:rsid w:val="00DF59D8"/>
    <w:rsid w:val="00DF7895"/>
    <w:rsid w:val="00E00750"/>
    <w:rsid w:val="00E040B7"/>
    <w:rsid w:val="00E04B17"/>
    <w:rsid w:val="00E15CB6"/>
    <w:rsid w:val="00E22A04"/>
    <w:rsid w:val="00E25EC7"/>
    <w:rsid w:val="00E26AEE"/>
    <w:rsid w:val="00E27F54"/>
    <w:rsid w:val="00E403F6"/>
    <w:rsid w:val="00E432CB"/>
    <w:rsid w:val="00E6040C"/>
    <w:rsid w:val="00E64E5A"/>
    <w:rsid w:val="00E668F5"/>
    <w:rsid w:val="00E76C96"/>
    <w:rsid w:val="00E90936"/>
    <w:rsid w:val="00EB2505"/>
    <w:rsid w:val="00EC31BC"/>
    <w:rsid w:val="00EC3617"/>
    <w:rsid w:val="00EC3BFF"/>
    <w:rsid w:val="00ED0C4B"/>
    <w:rsid w:val="00ED55ED"/>
    <w:rsid w:val="00ED7FCE"/>
    <w:rsid w:val="00EF1991"/>
    <w:rsid w:val="00EF1A52"/>
    <w:rsid w:val="00EF6A4D"/>
    <w:rsid w:val="00F11145"/>
    <w:rsid w:val="00F17D86"/>
    <w:rsid w:val="00F20E2F"/>
    <w:rsid w:val="00F2532E"/>
    <w:rsid w:val="00F33949"/>
    <w:rsid w:val="00F42422"/>
    <w:rsid w:val="00F5285A"/>
    <w:rsid w:val="00F52CD1"/>
    <w:rsid w:val="00F54A91"/>
    <w:rsid w:val="00F638F1"/>
    <w:rsid w:val="00F64307"/>
    <w:rsid w:val="00F670B8"/>
    <w:rsid w:val="00F76121"/>
    <w:rsid w:val="00F7731E"/>
    <w:rsid w:val="00F82BA6"/>
    <w:rsid w:val="00F8705D"/>
    <w:rsid w:val="00F91EEF"/>
    <w:rsid w:val="00F96653"/>
    <w:rsid w:val="00FA159B"/>
    <w:rsid w:val="00FA7305"/>
    <w:rsid w:val="00FA756F"/>
    <w:rsid w:val="00FB5B8B"/>
    <w:rsid w:val="00FB6F44"/>
    <w:rsid w:val="00FC3E2A"/>
    <w:rsid w:val="00FC4A6F"/>
    <w:rsid w:val="00FD0D69"/>
    <w:rsid w:val="00FD5024"/>
    <w:rsid w:val="00FD63F7"/>
    <w:rsid w:val="00FD67FA"/>
    <w:rsid w:val="00FE158C"/>
    <w:rsid w:val="00FE5002"/>
    <w:rsid w:val="00FE638E"/>
    <w:rsid w:val="00FF31C3"/>
    <w:rsid w:val="00FF5B07"/>
    <w:rsid w:val="00FF638E"/>
    <w:rsid w:val="00FF7249"/>
    <w:rsid w:val="2ABA1B9F"/>
    <w:rsid w:val="4AE86182"/>
    <w:rsid w:val="526D4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Balloon Text"/>
    <w:basedOn w:val="1"/>
    <w:link w:val="18"/>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u w:val="none"/>
    </w:rPr>
  </w:style>
  <w:style w:type="paragraph" w:customStyle="1" w:styleId="11">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页眉 字符"/>
    <w:basedOn w:val="9"/>
    <w:link w:val="5"/>
    <w:uiPriority w:val="99"/>
    <w:rPr>
      <w:sz w:val="18"/>
      <w:szCs w:val="18"/>
    </w:rPr>
  </w:style>
  <w:style w:type="character" w:customStyle="1" w:styleId="14">
    <w:name w:val="页脚 字符"/>
    <w:basedOn w:val="9"/>
    <w:link w:val="4"/>
    <w:uiPriority w:val="99"/>
    <w:rPr>
      <w:sz w:val="18"/>
      <w:szCs w:val="18"/>
    </w:rPr>
  </w:style>
  <w:style w:type="paragraph" w:customStyle="1" w:styleId="15">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日期 字符"/>
    <w:basedOn w:val="9"/>
    <w:link w:val="2"/>
    <w:semiHidden/>
    <w:qFormat/>
    <w:uiPriority w:val="99"/>
  </w:style>
  <w:style w:type="paragraph" w:customStyle="1" w:styleId="17">
    <w:name w:val="一级"/>
    <w:basedOn w:val="1"/>
    <w:uiPriority w:val="0"/>
    <w:pPr>
      <w:widowControl/>
      <w:adjustRightInd w:val="0"/>
      <w:snapToGrid w:val="0"/>
      <w:spacing w:beforeLines="100" w:after="200" w:afterLines="100" w:line="360" w:lineRule="auto"/>
      <w:ind w:left="50" w:leftChars="50" w:right="50" w:rightChars="50" w:firstLine="200" w:firstLineChars="200"/>
    </w:pPr>
    <w:rPr>
      <w:rFonts w:ascii="宋体" w:hAnsi="宋体" w:eastAsia="宋体" w:cs="Times New Roman"/>
      <w:b/>
      <w:kern w:val="0"/>
      <w:sz w:val="24"/>
    </w:rPr>
  </w:style>
  <w:style w:type="character" w:customStyle="1" w:styleId="18">
    <w:name w:val="批注框文本 字符"/>
    <w:basedOn w:val="9"/>
    <w:link w:val="3"/>
    <w:semiHidden/>
    <w:uiPriority w:val="99"/>
    <w:rPr>
      <w:sz w:val="18"/>
      <w:szCs w:val="18"/>
    </w:rPr>
  </w:style>
  <w:style w:type="character" w:customStyle="1" w:styleId="19">
    <w:name w:val="d12"/>
    <w:basedOn w:val="9"/>
    <w:uiPriority w:val="0"/>
  </w:style>
  <w:style w:type="table" w:customStyle="1" w:styleId="20">
    <w:name w:val="网格型1"/>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网格型11"/>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2C9280-D912-4F28-AE12-9EF7E31B81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1095</Words>
  <Characters>1359</Characters>
  <Lines>194</Lines>
  <Paragraphs>163</Paragraphs>
  <TotalTime>4</TotalTime>
  <ScaleCrop>false</ScaleCrop>
  <LinksUpToDate>false</LinksUpToDate>
  <CharactersWithSpaces>2291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2020-06-22T02:58:00Z</dcterms:created>
  <dc:creator>zy</dc:creator>
  <cp:lastModifiedBy>方家逸</cp:lastModifiedBy>
  <cp:lastPrinted>2017-07-18T02:51:00Z</cp:lastPrinted>
  <dcterms:modified xsi:type="dcterms:W3CDTF">2026-03-16T07:29:51Z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